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Agent Governance Toolkits: Industry Landscape, Microsoft AGT, and CAF v2 Strategy</w:t>
      </w:r>
    </w:p>
    <w:p>
      <w:r>
        <w:rPr>
          <w:b/>
        </w:rPr>
        <w:t>Research date:</w:t>
      </w:r>
      <w:r>
        <w:t xml:space="preserve"> September 15–16, 2026 </w:t>
      </w:r>
      <w:r>
        <w:rPr>
          <w:b/>
        </w:rPr>
        <w:t>Audience:</w:t>
      </w:r>
      <w:r>
        <w:t xml:space="preserve"> CAF v2 product and architecture decision makers </w:t>
      </w:r>
      <w:r>
        <w:rPr>
          <w:b/>
        </w:rPr>
        <w:t>CAF baseline reviewed:</w:t>
      </w:r>
      <w:r>
        <w:t xml:space="preserve"> </w:t>
      </w:r>
      <w:r>
        <w:rPr>
          <w:rFonts w:ascii="Consolas" w:hAnsi="Consolas"/>
          <w:sz w:val="20"/>
        </w:rPr>
        <w:t>/home/chunsun/workspace/scratch_workspace/CAF/V2-architecture/caf-v2-prfaq-draft.md</w:t>
      </w:r>
    </w:p>
    <w:p>
      <w:pPr>
        <w:pStyle w:val="Heading2"/>
      </w:pPr>
      <w:r>
        <w:t>Outline</w:t>
      </w:r>
    </w:p>
    <w:p>
      <w:pPr>
        <w:pStyle w:val="ListBullet"/>
      </w:pPr>
      <w:r>
        <w:t>Executive conclusion</w:t>
      </w:r>
    </w:p>
    <w:p>
      <w:pPr>
        <w:pStyle w:val="ListBullet"/>
      </w:pPr>
      <w:r>
        <w:t>1. What agent governance contains</w:t>
      </w:r>
    </w:p>
    <w:p>
      <w:pPr>
        <w:pStyle w:val="ListBullet"/>
      </w:pPr>
      <w:r>
        <w:t>2. AI-agent-specific products and toolkits</w:t>
      </w:r>
    </w:p>
    <w:p>
      <w:pPr>
        <w:pStyle w:val="ListBullet"/>
      </w:pPr>
      <w:r>
        <w:t>3. Generic governance toolkits and partial components</w:t>
      </w:r>
    </w:p>
    <w:p>
      <w:pPr>
        <w:pStyle w:val="ListBullet"/>
      </w:pPr>
      <w:r>
        <w:t>4. Policy languages and authoring models</w:t>
      </w:r>
    </w:p>
    <w:p>
      <w:pPr>
        <w:pStyle w:val="ListBullet"/>
      </w:pPr>
      <w:r>
        <w:t>5. Standards and governance frameworks</w:t>
      </w:r>
    </w:p>
    <w:p>
      <w:pPr>
        <w:pStyle w:val="ListBullet"/>
      </w:pPr>
      <w:r>
        <w:t>6. Microsoft AGT: technical assessment and industry position</w:t>
      </w:r>
    </w:p>
    <w:p>
      <w:pPr>
        <w:pStyle w:val="ListBullet"/>
      </w:pPr>
      <w:r>
        <w:t>7. CAF v2: fit, build-versus-reuse, and AGT evaluation</w:t>
      </w:r>
    </w:p>
    <w:p>
      <w:pPr>
        <w:pStyle w:val="ListBullet"/>
      </w:pPr>
      <w:r>
        <w:t>8. Strategic recommendation</w:t>
      </w:r>
    </w:p>
    <w:p>
      <w:pPr>
        <w:pStyle w:val="ListBullet"/>
      </w:pPr>
      <w:r>
        <w:t>9. Evaluation and procurement checklist</w:t>
      </w:r>
    </w:p>
    <w:p>
      <w:pPr>
        <w:pStyle w:val="ListBullet"/>
      </w:pPr>
      <w:r>
        <w:t>10. Risks and unresolved decisions</w:t>
      </w:r>
    </w:p>
    <w:p>
      <w:pPr>
        <w:pStyle w:val="ListBullet"/>
      </w:pPr>
      <w:r>
        <w:t>11. Final decision</w:t>
      </w:r>
    </w:p>
    <w:p>
      <w:pPr>
        <w:pStyle w:val="ListBullet"/>
      </w:pPr>
      <w:r>
        <w:t>Selected primary references</w:t>
      </w:r>
    </w:p>
    <w:p>
      <w:pPr>
        <w:pStyle w:val="Heading2"/>
      </w:pPr>
      <w:r>
        <w:t>Executive conclusion</w:t>
      </w:r>
    </w:p>
    <w:p>
      <w:r>
        <w:rPr>
          <w:b/>
        </w:rPr>
        <w:t>The agent-governance market has not converged on an industrial standard or a common end-to-end architecture.</w:t>
      </w:r>
      <w:r>
        <w:t xml:space="preserve"> Table 2.2 shows fragmentation across nearly every material dimension: agent identity and delegation, policy language, action enforcement, isolation, approval, evidence, compliance, incident response, and deployment model. No reviewed product provides a portable control plane across these layers, and no common policy model or evidence contract allows them to be exchanged without product-specific integration.</w:t>
      </w:r>
    </w:p>
    <w:p>
      <w:r>
        <w:t>Standards and mature components exist, but mainly below or between products: OAuth/OIDC and SPIFFE address parts of identity; Rego, Cedar, and CEL express different classes of policy; MCP and A2A define communication protocols; AuthZEN defines a decision API; OpenTelemetry carries telemetry. None binds human mandate, agent delegation, per-action policy, execution, and audit evidence into one broadly adopted governance system. As a result, current platforms are complementary rather than interchangeable, and adopting one platform's schemas as an application contract creates material lock-in.</w:t>
      </w:r>
    </w:p>
    <w:p>
      <w:r>
        <w:t>This lack of convergence is the report's most important strategic finding. CAF should expect the market to keep changing and preserve replaceability at the identity, policy, runtime, and evidence seams. It should define only the smallest stable CAF contract needed for managed HPC operations, then integrate standards and products behind that boundary.</w:t>
      </w:r>
    </w:p>
    <w:p>
      <w:r>
        <w:t xml:space="preserve">Microsoft’s open-source </w:t>
      </w:r>
      <w:hyperlink r:id="rId9">
        <w:r>
          <w:rPr>
            <w:color w:val="0563C1"/>
            <w:u w:val="single"/>
          </w:rPr>
          <w:t>Agent Governance Toolkit (AGT)</w:t>
        </w:r>
      </w:hyperlink>
      <w:r>
        <w:t xml:space="preserve"> is one of the broadest attempts to standardize governance inside agent applications. Its strongest capability is an embeddable runtime policy decision and enforcement layer: a trusted host invokes the Agent Control Specification (ACS) before lifecycle events such as model and tool calls, then enforces allow, deny, or transform decisions. AGT also provides useful agent identity, delegation, audit, MCP, reliability, and compliance primitives. It does </w:t>
      </w:r>
      <w:r>
        <w:rPr>
          <w:b/>
        </w:rPr>
        <w:t>not</w:t>
      </w:r>
      <w:r>
        <w:t xml:space="preserve"> replace enterprise IAM, credential management, hard workload isolation, data governance, a SIEM, GRC, or host enforcement. It is a fast-moving public preview whose completeness depends on non-bypassable integration.</w:t>
      </w:r>
    </w:p>
    <w:p>
      <w:r>
        <w:t>CAF should not become another general-purpose governance suite. CAF’s durable product role is narrower: the compatibility and evidence boundary between replaceable agent runtimes and managed HPC services. CAF should build its runtime-neutral contract, adapter SDK, admission/conformance suite, normalized HPC facades, and application-level evidence schema. It should reuse host-provided policy, identity, credentials, scheduling, isolation, telemetry, retention, and incident response.</w:t>
      </w:r>
    </w:p>
    <w:p>
      <w:r>
        <w:t xml:space="preserve">AGT is relevant to CAF, but the right first move is a </w:t>
      </w:r>
      <w:r>
        <w:rPr>
          <w:b/>
        </w:rPr>
        <w:t>bounded technical evaluation</w:t>
      </w:r>
      <w:r>
        <w:t>, not wholesale adoption. CAF can test ACS as an optional policy-decision implementation behind its own vendor-neutral provider interface and reuse selected AGT concepts or modules. CAF should not adopt AGT’s identity, event, lifecycle, or framework abstractions as its public product contract until version stability, Pi integration coverage, offline/HPC operation, bypass behavior, and cross-language semantics are proven.</w:t>
      </w:r>
    </w:p>
    <w:p>
      <w:r>
        <w:t>The strategic rule is:</w:t>
      </w:r>
    </w:p>
    <w:p>
      <w:pPr>
        <w:pStyle w:val="Quote"/>
      </w:pPr>
      <w:r>
        <w:rPr>
          <w:b/>
        </w:rPr>
        <w:t>Build the CAF semantic boundary; adopt mature mechanisms; pilot AGT behind replaceable interfaces.</w:t>
      </w:r>
    </w:p>
    <w:p>
      <w:pPr>
        <w:pStyle w:val="Heading2"/>
      </w:pPr>
      <w:r>
        <w:t>1. What “agent governance” contains</w:t>
      </w:r>
    </w:p>
    <w:p>
      <w:r>
        <w:t>A complete governance system needs several distinct layers. Conflating them produces weak architecture and inflated vendor comparisons.</w:t>
      </w:r>
    </w:p>
    <w:tbl>
      <w:tblPr>
        <w:tblStyle w:val="TableGrid"/>
        <w:tblW w:type="auto" w:w="0"/>
        <w:jc w:val="center"/>
        <w:tblLayout w:type="autofit"/>
        <w:tblLook w:firstColumn="1" w:firstRow="1" w:lastColumn="0" w:lastRow="0" w:noHBand="0" w:noVBand="1" w:val="04A0"/>
      </w:tblPr>
      <w:tblGrid>
        <w:gridCol w:w="5040"/>
        <w:gridCol w:w="5040"/>
        <w:gridCol w:w="5040"/>
      </w:tblGrid>
      <w:tr>
        <w:trPr>
          <w:tblHeader w:val="true"/>
        </w:trPr>
        <w:tc>
          <w:tcPr>
            <w:tcW w:type="dxa" w:w="5040"/>
            <w:vAlign w:val="center"/>
            <w:shd w:fill="D9EAF7"/>
          </w:tcPr>
          <w:p>
            <w:pPr>
              <w:spacing w:after="20"/>
            </w:pPr>
            <w:r>
              <w:rPr>
                <w:b/>
                <w:sz w:val="20"/>
                <w:szCs w:val="20"/>
              </w:rPr>
              <w:t>Layer</w:t>
            </w:r>
          </w:p>
        </w:tc>
        <w:tc>
          <w:tcPr>
            <w:tcW w:type="dxa" w:w="5040"/>
            <w:vAlign w:val="center"/>
            <w:shd w:fill="D9EAF7"/>
          </w:tcPr>
          <w:p>
            <w:pPr>
              <w:spacing w:after="20"/>
            </w:pPr>
            <w:r>
              <w:rPr>
                <w:b/>
                <w:sz w:val="20"/>
                <w:szCs w:val="20"/>
              </w:rPr>
              <w:t>Governing question</w:t>
            </w:r>
          </w:p>
        </w:tc>
        <w:tc>
          <w:tcPr>
            <w:tcW w:type="dxa" w:w="5040"/>
            <w:vAlign w:val="center"/>
            <w:shd w:fill="D9EAF7"/>
          </w:tcPr>
          <w:p>
            <w:pPr>
              <w:spacing w:after="20"/>
            </w:pPr>
            <w:r>
              <w:rPr>
                <w:b/>
                <w:sz w:val="20"/>
                <w:szCs w:val="20"/>
              </w:rPr>
              <w:t>Typical mechanisms</w:t>
            </w:r>
          </w:p>
        </w:tc>
      </w:tr>
      <w:tr>
        <w:tc>
          <w:tcPr>
            <w:tcW w:type="dxa" w:w="5040"/>
            <w:vAlign w:val="center"/>
          </w:tcPr>
          <w:p>
            <w:pPr>
              <w:spacing w:after="20"/>
            </w:pPr>
            <w:r>
              <w:rPr>
                <w:sz w:val="20"/>
                <w:szCs w:val="20"/>
              </w:rPr>
              <w:t>Organizational governance</w:t>
            </w:r>
          </w:p>
        </w:tc>
        <w:tc>
          <w:tcPr>
            <w:tcW w:type="dxa" w:w="5040"/>
            <w:vAlign w:val="center"/>
          </w:tcPr>
          <w:p>
            <w:pPr>
              <w:spacing w:after="20"/>
            </w:pPr>
            <w:r>
              <w:rPr>
                <w:sz w:val="20"/>
                <w:szCs w:val="20"/>
              </w:rPr>
              <w:t>Who owns the agent, risk, exception, and control?</w:t>
            </w:r>
          </w:p>
        </w:tc>
        <w:tc>
          <w:tcPr>
            <w:tcW w:type="dxa" w:w="5040"/>
            <w:vAlign w:val="center"/>
          </w:tcPr>
          <w:p>
            <w:pPr>
              <w:spacing w:after="20"/>
            </w:pPr>
            <w:r>
              <w:rPr>
                <w:sz w:val="20"/>
                <w:szCs w:val="20"/>
              </w:rPr>
              <w:t>Inventory, accountability, risk assessment, GRC, certifications</w:t>
            </w:r>
          </w:p>
        </w:tc>
      </w:tr>
      <w:tr>
        <w:tc>
          <w:tcPr>
            <w:tcW w:type="dxa" w:w="5040"/>
            <w:vAlign w:val="center"/>
          </w:tcPr>
          <w:p>
            <w:pPr>
              <w:spacing w:after="20"/>
            </w:pPr>
            <w:r>
              <w:rPr>
                <w:sz w:val="20"/>
                <w:szCs w:val="20"/>
              </w:rPr>
              <w:t>Identity and delegation</w:t>
            </w:r>
          </w:p>
        </w:tc>
        <w:tc>
          <w:tcPr>
            <w:tcW w:type="dxa" w:w="5040"/>
            <w:vAlign w:val="center"/>
          </w:tcPr>
          <w:p>
            <w:pPr>
              <w:spacing w:after="20"/>
            </w:pPr>
            <w:r>
              <w:rPr>
                <w:sz w:val="20"/>
                <w:szCs w:val="20"/>
              </w:rPr>
              <w:t>Which user, workload, agent, or sub-agent is acting, and for whom?</w:t>
            </w:r>
          </w:p>
        </w:tc>
        <w:tc>
          <w:tcPr>
            <w:tcW w:type="dxa" w:w="5040"/>
            <w:vAlign w:val="center"/>
          </w:tcPr>
          <w:p>
            <w:pPr>
              <w:spacing w:after="20"/>
            </w:pPr>
            <w:r>
              <w:rPr>
                <w:sz w:val="20"/>
                <w:szCs w:val="20"/>
              </w:rPr>
              <w:t>OIDC/OAuth, workload identity, short-lived credentials, delegation chains</w:t>
            </w:r>
          </w:p>
        </w:tc>
      </w:tr>
      <w:tr>
        <w:tc>
          <w:tcPr>
            <w:tcW w:type="dxa" w:w="5040"/>
            <w:vAlign w:val="center"/>
          </w:tcPr>
          <w:p>
            <w:pPr>
              <w:spacing w:after="20"/>
            </w:pPr>
            <w:r>
              <w:rPr>
                <w:sz w:val="20"/>
                <w:szCs w:val="20"/>
              </w:rPr>
              <w:t>Policy decision</w:t>
            </w:r>
          </w:p>
        </w:tc>
        <w:tc>
          <w:tcPr>
            <w:tcW w:type="dxa" w:w="5040"/>
            <w:vAlign w:val="center"/>
          </w:tcPr>
          <w:p>
            <w:pPr>
              <w:spacing w:after="20"/>
            </w:pPr>
            <w:r>
              <w:rPr>
                <w:sz w:val="20"/>
                <w:szCs w:val="20"/>
              </w:rPr>
              <w:t>Is this exact action allowed in this context?</w:t>
            </w:r>
          </w:p>
        </w:tc>
        <w:tc>
          <w:tcPr>
            <w:tcW w:type="dxa" w:w="5040"/>
            <w:vAlign w:val="center"/>
          </w:tcPr>
          <w:p>
            <w:pPr>
              <w:spacing w:after="20"/>
            </w:pPr>
            <w:r>
              <w:rPr>
                <w:sz w:val="20"/>
                <w:szCs w:val="20"/>
              </w:rPr>
              <w:t>OPA/Rego, Cedar, relationship authorization, semantic policy</w:t>
            </w:r>
          </w:p>
        </w:tc>
      </w:tr>
      <w:tr>
        <w:tc>
          <w:tcPr>
            <w:tcW w:type="dxa" w:w="5040"/>
            <w:vAlign w:val="center"/>
          </w:tcPr>
          <w:p>
            <w:pPr>
              <w:spacing w:after="20"/>
            </w:pPr>
            <w:r>
              <w:rPr>
                <w:sz w:val="20"/>
                <w:szCs w:val="20"/>
              </w:rPr>
              <w:t>Enforcement</w:t>
            </w:r>
          </w:p>
        </w:tc>
        <w:tc>
          <w:tcPr>
            <w:tcW w:type="dxa" w:w="5040"/>
            <w:vAlign w:val="center"/>
          </w:tcPr>
          <w:p>
            <w:pPr>
              <w:spacing w:after="20"/>
            </w:pPr>
            <w:r>
              <w:rPr>
                <w:sz w:val="20"/>
                <w:szCs w:val="20"/>
              </w:rPr>
              <w:t>Can a denied action still occur through another path?</w:t>
            </w:r>
          </w:p>
        </w:tc>
        <w:tc>
          <w:tcPr>
            <w:tcW w:type="dxa" w:w="5040"/>
            <w:vAlign w:val="center"/>
          </w:tcPr>
          <w:p>
            <w:pPr>
              <w:spacing w:after="20"/>
            </w:pPr>
            <w:r>
              <w:rPr>
                <w:sz w:val="20"/>
                <w:szCs w:val="20"/>
              </w:rPr>
              <w:t>Tool/API gateway, wrapper, sidecar, credential broker, network/runtime boundary</w:t>
            </w:r>
          </w:p>
        </w:tc>
      </w:tr>
      <w:tr>
        <w:tc>
          <w:tcPr>
            <w:tcW w:type="dxa" w:w="5040"/>
            <w:vAlign w:val="center"/>
          </w:tcPr>
          <w:p>
            <w:pPr>
              <w:spacing w:after="20"/>
            </w:pPr>
            <w:r>
              <w:rPr>
                <w:sz w:val="20"/>
                <w:szCs w:val="20"/>
              </w:rPr>
              <w:t>Runtime safety</w:t>
            </w:r>
          </w:p>
        </w:tc>
        <w:tc>
          <w:tcPr>
            <w:tcW w:type="dxa" w:w="5040"/>
            <w:vAlign w:val="center"/>
          </w:tcPr>
          <w:p>
            <w:pPr>
              <w:spacing w:after="20"/>
            </w:pPr>
            <w:r>
              <w:rPr>
                <w:sz w:val="20"/>
                <w:szCs w:val="20"/>
              </w:rPr>
              <w:t>Is execution contained even after authorization?</w:t>
            </w:r>
          </w:p>
        </w:tc>
        <w:tc>
          <w:tcPr>
            <w:tcW w:type="dxa" w:w="5040"/>
            <w:vAlign w:val="center"/>
          </w:tcPr>
          <w:p>
            <w:pPr>
              <w:spacing w:after="20"/>
            </w:pPr>
            <w:r>
              <w:rPr>
                <w:sz w:val="20"/>
                <w:szCs w:val="20"/>
              </w:rPr>
              <w:t>Containers, gVisor, microVMs, filesystem/network/resource controls</w:t>
            </w:r>
          </w:p>
        </w:tc>
      </w:tr>
      <w:tr>
        <w:tc>
          <w:tcPr>
            <w:tcW w:type="dxa" w:w="5040"/>
            <w:vAlign w:val="center"/>
          </w:tcPr>
          <w:p>
            <w:pPr>
              <w:spacing w:after="20"/>
            </w:pPr>
            <w:r>
              <w:rPr>
                <w:sz w:val="20"/>
                <w:szCs w:val="20"/>
              </w:rPr>
              <w:t>Model and content safety</w:t>
            </w:r>
          </w:p>
        </w:tc>
        <w:tc>
          <w:tcPr>
            <w:tcW w:type="dxa" w:w="5040"/>
            <w:vAlign w:val="center"/>
          </w:tcPr>
          <w:p>
            <w:pPr>
              <w:spacing w:after="20"/>
            </w:pPr>
            <w:r>
              <w:rPr>
                <w:sz w:val="20"/>
                <w:szCs w:val="20"/>
              </w:rPr>
              <w:t>Is the input/output malicious, sensitive, or misaligned?</w:t>
            </w:r>
          </w:p>
        </w:tc>
        <w:tc>
          <w:tcPr>
            <w:tcW w:type="dxa" w:w="5040"/>
            <w:vAlign w:val="center"/>
          </w:tcPr>
          <w:p>
            <w:pPr>
              <w:spacing w:after="20"/>
            </w:pPr>
            <w:r>
              <w:rPr>
                <w:sz w:val="20"/>
                <w:szCs w:val="20"/>
              </w:rPr>
              <w:t>Prompt-injection defense, DLP, classifiers, guardrails, model policies</w:t>
            </w:r>
          </w:p>
        </w:tc>
      </w:tr>
      <w:tr>
        <w:tc>
          <w:tcPr>
            <w:tcW w:type="dxa" w:w="5040"/>
            <w:vAlign w:val="center"/>
          </w:tcPr>
          <w:p>
            <w:pPr>
              <w:spacing w:after="20"/>
            </w:pPr>
            <w:r>
              <w:rPr>
                <w:sz w:val="20"/>
                <w:szCs w:val="20"/>
              </w:rPr>
              <w:t>Evidence and observability</w:t>
            </w:r>
          </w:p>
        </w:tc>
        <w:tc>
          <w:tcPr>
            <w:tcW w:type="dxa" w:w="5040"/>
            <w:vAlign w:val="center"/>
          </w:tcPr>
          <w:p>
            <w:pPr>
              <w:spacing w:after="20"/>
            </w:pPr>
            <w:r>
              <w:rPr>
                <w:sz w:val="20"/>
                <w:szCs w:val="20"/>
              </w:rPr>
              <w:t>Can the organization reconstruct request, decision, execution, and result?</w:t>
            </w:r>
          </w:p>
        </w:tc>
        <w:tc>
          <w:tcPr>
            <w:tcW w:type="dxa" w:w="5040"/>
            <w:vAlign w:val="center"/>
          </w:tcPr>
          <w:p>
            <w:pPr>
              <w:spacing w:after="20"/>
            </w:pPr>
            <w:r>
              <w:rPr>
                <w:sz w:val="20"/>
                <w:szCs w:val="20"/>
              </w:rPr>
              <w:t>Structured events, traces, audit logs, lineage, attestations, SIEM</w:t>
            </w:r>
          </w:p>
        </w:tc>
      </w:tr>
      <w:tr>
        <w:tc>
          <w:tcPr>
            <w:tcW w:type="dxa" w:w="5040"/>
            <w:vAlign w:val="center"/>
          </w:tcPr>
          <w:p>
            <w:pPr>
              <w:spacing w:after="20"/>
            </w:pPr>
            <w:r>
              <w:rPr>
                <w:sz w:val="20"/>
                <w:szCs w:val="20"/>
              </w:rPr>
              <w:t>Human control</w:t>
            </w:r>
          </w:p>
        </w:tc>
        <w:tc>
          <w:tcPr>
            <w:tcW w:type="dxa" w:w="5040"/>
            <w:vAlign w:val="center"/>
          </w:tcPr>
          <w:p>
            <w:pPr>
              <w:spacing w:after="20"/>
            </w:pPr>
            <w:r>
              <w:rPr>
                <w:sz w:val="20"/>
                <w:szCs w:val="20"/>
              </w:rPr>
              <w:t>Which effects require review or approval?</w:t>
            </w:r>
          </w:p>
        </w:tc>
        <w:tc>
          <w:tcPr>
            <w:tcW w:type="dxa" w:w="5040"/>
            <w:vAlign w:val="center"/>
          </w:tcPr>
          <w:p>
            <w:pPr>
              <w:spacing w:after="20"/>
            </w:pPr>
            <w:r>
              <w:rPr>
                <w:sz w:val="20"/>
                <w:szCs w:val="20"/>
              </w:rPr>
              <w:t>Durable workflows, step-up authorization, separation of duties</w:t>
            </w:r>
          </w:p>
        </w:tc>
      </w:tr>
      <w:tr>
        <w:tc>
          <w:tcPr>
            <w:tcW w:type="dxa" w:w="5040"/>
            <w:vAlign w:val="center"/>
          </w:tcPr>
          <w:p>
            <w:pPr>
              <w:spacing w:after="20"/>
            </w:pPr>
            <w:r>
              <w:rPr>
                <w:sz w:val="20"/>
                <w:szCs w:val="20"/>
              </w:rPr>
              <w:t>Assurance and compliance</w:t>
            </w:r>
          </w:p>
        </w:tc>
        <w:tc>
          <w:tcPr>
            <w:tcW w:type="dxa" w:w="5040"/>
            <w:vAlign w:val="center"/>
          </w:tcPr>
          <w:p>
            <w:pPr>
              <w:spacing w:after="20"/>
            </w:pPr>
            <w:r>
              <w:rPr>
                <w:sz w:val="20"/>
                <w:szCs w:val="20"/>
              </w:rPr>
              <w:t>Do controls map to obligations and operate effectively?</w:t>
            </w:r>
          </w:p>
        </w:tc>
        <w:tc>
          <w:tcPr>
            <w:tcW w:type="dxa" w:w="5040"/>
            <w:vAlign w:val="center"/>
          </w:tcPr>
          <w:p>
            <w:pPr>
              <w:spacing w:after="20"/>
            </w:pPr>
            <w:r>
              <w:rPr>
                <w:sz w:val="20"/>
                <w:szCs w:val="20"/>
              </w:rPr>
              <w:t>NIST/ISO/EU mappings, evaluations, red-team tests, OSCAL, GRC</w:t>
            </w:r>
          </w:p>
        </w:tc>
      </w:tr>
      <w:tr>
        <w:tc>
          <w:tcPr>
            <w:tcW w:type="dxa" w:w="5040"/>
            <w:vAlign w:val="center"/>
          </w:tcPr>
          <w:p>
            <w:pPr>
              <w:spacing w:after="20"/>
            </w:pPr>
            <w:r>
              <w:rPr>
                <w:sz w:val="20"/>
                <w:szCs w:val="20"/>
              </w:rPr>
              <w:t>Incident response</w:t>
            </w:r>
          </w:p>
        </w:tc>
        <w:tc>
          <w:tcPr>
            <w:tcW w:type="dxa" w:w="5040"/>
            <w:vAlign w:val="center"/>
          </w:tcPr>
          <w:p>
            <w:pPr>
              <w:spacing w:after="20"/>
            </w:pPr>
            <w:r>
              <w:rPr>
                <w:sz w:val="20"/>
                <w:szCs w:val="20"/>
              </w:rPr>
              <w:t>Can operators suspend, revoke, contain, investigate, and recover?</w:t>
            </w:r>
          </w:p>
        </w:tc>
        <w:tc>
          <w:tcPr>
            <w:tcW w:type="dxa" w:w="5040"/>
            <w:vAlign w:val="center"/>
          </w:tcPr>
          <w:p>
            <w:pPr>
              <w:spacing w:after="20"/>
            </w:pPr>
            <w:r>
              <w:rPr>
                <w:sz w:val="20"/>
                <w:szCs w:val="20"/>
              </w:rPr>
              <w:t>Kill/revoke/quarantine, evidence preservation, SIEM/SOAR, rollback</w:t>
            </w:r>
          </w:p>
        </w:tc>
      </w:tr>
    </w:tbl>
    <w:p/>
    <w:p>
      <w:r>
        <w:t>No reviewed product proves complete coverage across all layers. An architecture must therefore define its authoritative source and enforcement point for each layer.</w:t>
      </w:r>
    </w:p>
    <w:p>
      <w:pPr>
        <w:pStyle w:val="Heading2"/>
      </w:pPr>
      <w:r>
        <w:t>2. AI-agent-specific products and toolkits</w:t>
      </w:r>
    </w:p>
    <w:p>
      <w:pPr>
        <w:pStyle w:val="Heading3"/>
      </w:pPr>
      <w:r>
        <w:t>2.1 Market map</w:t>
      </w:r>
    </w:p>
    <w:p>
      <w:r>
        <w:t>The market divides into five overlapping groups:</w:t>
      </w:r>
    </w:p>
    <w:p>
      <w:pPr>
        <w:pStyle w:val="ListBullet"/>
      </w:pPr>
      <w:r>
        <w:rPr>
          <w:b/>
        </w:rPr>
        <w:t>Cloud-native agent platforms:</w:t>
      </w:r>
      <w:r>
        <w:t xml:space="preserve"> AWS, Google Cloud, Microsoft, Salesforce.</w:t>
      </w:r>
    </w:p>
    <w:p>
      <w:pPr>
        <w:pStyle w:val="ListBullet"/>
      </w:pPr>
      <w:r>
        <w:rPr>
          <w:b/>
        </w:rPr>
        <w:t>Agent identity and authorization:</w:t>
      </w:r>
      <w:r>
        <w:t xml:space="preserve"> Microsoft Entra Agent ID, Ping, Descope, Okta, Oasis, Cerbos, Permit.</w:t>
      </w:r>
    </w:p>
    <w:p>
      <w:pPr>
        <w:pStyle w:val="ListBullet"/>
      </w:pPr>
      <w:r>
        <w:rPr>
          <w:b/>
        </w:rPr>
        <w:t>MCP and tool gateways:</w:t>
      </w:r>
      <w:r>
        <w:t xml:space="preserve"> Docker, Stacklok ToolHive, Lasso.</w:t>
      </w:r>
    </w:p>
    <w:p>
      <w:pPr>
        <w:pStyle w:val="ListBullet"/>
      </w:pPr>
      <w:r>
        <w:rPr>
          <w:b/>
        </w:rPr>
        <w:t>Runtime AI security:</w:t>
      </w:r>
      <w:r>
        <w:t xml:space="preserve"> Cisco, Palo Alto Networks, Check Point/Lakera, Holistic AI, Galileo, NVIDIA.</w:t>
      </w:r>
    </w:p>
    <w:p>
      <w:pPr>
        <w:pStyle w:val="ListBullet"/>
      </w:pPr>
      <w:r>
        <w:rPr>
          <w:b/>
        </w:rPr>
        <w:t>Lifecycle governance and evaluation:</w:t>
      </w:r>
      <w:r>
        <w:t xml:space="preserve"> IBM, Credo AI, LangSmith, Phoenix, AgentOps.</w:t>
      </w:r>
    </w:p>
    <w:p>
      <w:r>
        <w:t>The most important market trend is that the tool/API boundary is becoming the practical policy enforcement point. The strongest designs evaluate policy before a tool call and place credentials or network access beyond the agent’s direct control. Runtime isolation remains less common than prompt and traffic inspection. Human approval and complete incident-response workflows remain underdeveloped.</w:t>
      </w:r>
    </w:p>
    <w:p>
      <w:pPr>
        <w:pStyle w:val="Heading3"/>
      </w:pPr>
      <w:r>
        <w:t>2.2 Comparison table</w:t>
      </w:r>
    </w:p>
    <w:p>
      <w:r>
        <w:t xml:space="preserve">Legend: </w:t>
      </w:r>
      <w:r>
        <w:rPr>
          <w:b/>
        </w:rPr>
        <w:t>S</w:t>
      </w:r>
      <w:r>
        <w:t xml:space="preserve"> = explicit central capability; </w:t>
      </w:r>
      <w:r>
        <w:rPr>
          <w:b/>
        </w:rPr>
        <w:t>P</w:t>
      </w:r>
      <w:r>
        <w:t xml:space="preserve"> = partial, adjacent, or integration-dependent; </w:t>
      </w:r>
      <w:r>
        <w:rPr>
          <w:b/>
        </w:rPr>
        <w:t>—</w:t>
      </w:r>
      <w:r>
        <w:t xml:space="preserve"> = not evidenced as material. </w:t>
      </w:r>
      <w:r>
        <w:rPr>
          <w:b/>
        </w:rPr>
        <w:t>Inv</w:t>
      </w:r>
      <w:r>
        <w:t xml:space="preserve"> means inventory/discovery, not authoritative identity. </w:t>
      </w:r>
      <w:r>
        <w:rPr>
          <w:b/>
        </w:rPr>
        <w:t>ID</w:t>
      </w:r>
      <w:r>
        <w:t xml:space="preserve"> means identity/delegation. </w:t>
      </w:r>
      <w:r>
        <w:rPr>
          <w:b/>
        </w:rPr>
        <w:t>Act</w:t>
      </w:r>
      <w:r>
        <w:t xml:space="preserve"> means pre-action policy. </w:t>
      </w:r>
      <w:r>
        <w:rPr>
          <w:b/>
        </w:rPr>
        <w:t>Iso</w:t>
      </w:r>
      <w:r>
        <w:t xml:space="preserve"> means runtime isolation. </w:t>
      </w:r>
      <w:r>
        <w:rPr>
          <w:b/>
        </w:rPr>
        <w:t>Aud</w:t>
      </w:r>
      <w:r>
        <w:t xml:space="preserve"> means audit/observability. </w:t>
      </w:r>
      <w:r>
        <w:rPr>
          <w:b/>
        </w:rPr>
        <w:t>App</w:t>
      </w:r>
      <w:r>
        <w:t xml:space="preserve"> means human approval. </w:t>
      </w:r>
      <w:r>
        <w:rPr>
          <w:b/>
        </w:rPr>
        <w:t>Eval</w:t>
      </w:r>
      <w:r>
        <w:t xml:space="preserve"> means risk/evaluation. </w:t>
      </w:r>
      <w:r>
        <w:rPr>
          <w:b/>
        </w:rPr>
        <w:t>Comp</w:t>
      </w:r>
      <w:r>
        <w:t xml:space="preserve"> means compliance/assurance support. </w:t>
      </w:r>
      <w:r>
        <w:rPr>
          <w:b/>
        </w:rPr>
        <w:t>IR</w:t>
      </w:r>
      <w:r>
        <w:t xml:space="preserve"> means incident containment/response. </w:t>
      </w:r>
      <w:r>
        <w:rPr>
          <w:b/>
        </w:rPr>
        <w:t>On-prem</w:t>
      </w:r>
      <w:r>
        <w:t xml:space="preserve"> uses </w:t>
      </w:r>
      <w:r>
        <w:rPr>
          <w:b/>
        </w:rPr>
        <w:t>Yes</w:t>
      </w:r>
      <w:r>
        <w:t xml:space="preserve"> for a fully customer-managed core control plane, </w:t>
      </w:r>
      <w:r>
        <w:rPr>
          <w:b/>
        </w:rPr>
        <w:t>Partial</w:t>
      </w:r>
      <w:r>
        <w:t xml:space="preserve"> for hybrid/local data-plane or edition-limited deployment, </w:t>
      </w:r>
      <w:r>
        <w:rPr>
          <w:b/>
        </w:rPr>
        <w:t>No</w:t>
      </w:r>
      <w:r>
        <w:t xml:space="preserve"> for vendor-hosted cloud/SaaS only, and </w:t>
      </w:r>
      <w:r>
        <w:rPr>
          <w:b/>
        </w:rPr>
        <w:t>Mixed</w:t>
      </w:r>
      <w:r>
        <w:t xml:space="preserve"> when products grouped in one row differ. An on-prem connector, private endpoint, customer VPC, or coverage of on-prem assets does not by itself qualify. </w:t>
      </w:r>
      <w:r>
        <w:rPr>
          <w:b/>
        </w:rPr>
        <w:t>Policy authoring</w:t>
      </w:r>
      <w:r>
        <w:t xml:space="preserve"> names the executable language or authoring model; JSON/YAML is identified as configuration unless it carries a defined rule DSL. Ratings summarize public evidence and are not independent validation. Microsoft AGT is included here as the focal open-source comparator; Section 6 provides its deeper assessment.</w:t>
      </w:r>
    </w:p>
    <w:tbl>
      <w:tblPr>
        <w:tblStyle w:val="TableGrid"/>
        <w:tblW w:type="auto" w:w="0"/>
        <w:jc w:val="center"/>
        <w:tblLayout w:type="autofit"/>
        <w:tblLook w:firstColumn="1" w:firstRow="1" w:lastColumn="0" w:lastRow="0" w:noHBand="0" w:noVBand="1" w:val="04A0"/>
      </w:tblPr>
      <w:tblGrid>
        <w:gridCol w:w="1080"/>
        <w:gridCol w:w="1080"/>
        <w:gridCol w:w="1080"/>
        <w:gridCol w:w="1080"/>
        <w:gridCol w:w="1080"/>
        <w:gridCol w:w="1080"/>
        <w:gridCol w:w="1080"/>
        <w:gridCol w:w="1080"/>
        <w:gridCol w:w="1080"/>
        <w:gridCol w:w="1080"/>
        <w:gridCol w:w="1080"/>
        <w:gridCol w:w="1080"/>
        <w:gridCol w:w="1080"/>
        <w:gridCol w:w="1080"/>
      </w:tblGrid>
      <w:tr>
        <w:trPr>
          <w:tblHeader w:val="true"/>
        </w:trPr>
        <w:tc>
          <w:tcPr>
            <w:tcW w:type="dxa" w:w="1080"/>
            <w:vAlign w:val="center"/>
            <w:shd w:fill="D9EAF7"/>
          </w:tcPr>
          <w:p>
            <w:pPr>
              <w:spacing w:after="20"/>
            </w:pPr>
            <w:r>
              <w:rPr>
                <w:b/>
                <w:sz w:val="20"/>
                <w:szCs w:val="20"/>
              </w:rPr>
              <w:t>Offering</w:t>
            </w:r>
          </w:p>
        </w:tc>
        <w:tc>
          <w:tcPr>
            <w:tcW w:type="dxa" w:w="1080"/>
            <w:vAlign w:val="center"/>
            <w:shd w:fill="D9EAF7"/>
          </w:tcPr>
          <w:p>
            <w:pPr>
              <w:spacing w:after="20"/>
            </w:pPr>
            <w:r>
              <w:rPr>
                <w:b/>
                <w:sz w:val="20"/>
                <w:szCs w:val="20"/>
              </w:rPr>
              <w:t>Center of gravity</w:t>
            </w:r>
          </w:p>
        </w:tc>
        <w:tc>
          <w:tcPr>
            <w:tcW w:type="dxa" w:w="1080"/>
            <w:vAlign w:val="center"/>
            <w:shd w:fill="D9EAF7"/>
          </w:tcPr>
          <w:p>
            <w:pPr>
              <w:spacing w:after="20"/>
            </w:pPr>
            <w:r>
              <w:rPr>
                <w:b/>
                <w:sz w:val="20"/>
                <w:szCs w:val="20"/>
              </w:rPr>
              <w:t>On-prem</w:t>
            </w:r>
          </w:p>
        </w:tc>
        <w:tc>
          <w:tcPr>
            <w:tcW w:type="dxa" w:w="1080"/>
            <w:vAlign w:val="center"/>
            <w:shd w:fill="D9EAF7"/>
          </w:tcPr>
          <w:p>
            <w:pPr>
              <w:spacing w:after="20"/>
            </w:pPr>
            <w:r>
              <w:rPr>
                <w:b/>
                <w:sz w:val="20"/>
                <w:szCs w:val="20"/>
              </w:rPr>
              <w:t>Policy authoring</w:t>
            </w:r>
          </w:p>
        </w:tc>
        <w:tc>
          <w:tcPr>
            <w:tcW w:type="dxa" w:w="1080"/>
            <w:vAlign w:val="center"/>
            <w:shd w:fill="D9EAF7"/>
          </w:tcPr>
          <w:p>
            <w:pPr>
              <w:spacing w:after="20"/>
            </w:pPr>
            <w:r>
              <w:rPr>
                <w:b/>
                <w:sz w:val="20"/>
                <w:szCs w:val="20"/>
              </w:rPr>
              <w:t>Inv</w:t>
            </w:r>
          </w:p>
        </w:tc>
        <w:tc>
          <w:tcPr>
            <w:tcW w:type="dxa" w:w="1080"/>
            <w:vAlign w:val="center"/>
            <w:shd w:fill="D9EAF7"/>
          </w:tcPr>
          <w:p>
            <w:pPr>
              <w:spacing w:after="20"/>
            </w:pPr>
            <w:r>
              <w:rPr>
                <w:b/>
                <w:sz w:val="20"/>
                <w:szCs w:val="20"/>
              </w:rPr>
              <w:t>ID</w:t>
            </w:r>
          </w:p>
        </w:tc>
        <w:tc>
          <w:tcPr>
            <w:tcW w:type="dxa" w:w="1080"/>
            <w:vAlign w:val="center"/>
            <w:shd w:fill="D9EAF7"/>
          </w:tcPr>
          <w:p>
            <w:pPr>
              <w:spacing w:after="20"/>
            </w:pPr>
            <w:r>
              <w:rPr>
                <w:b/>
                <w:sz w:val="20"/>
                <w:szCs w:val="20"/>
              </w:rPr>
              <w:t>Act</w:t>
            </w:r>
          </w:p>
        </w:tc>
        <w:tc>
          <w:tcPr>
            <w:tcW w:type="dxa" w:w="1080"/>
            <w:vAlign w:val="center"/>
            <w:shd w:fill="D9EAF7"/>
          </w:tcPr>
          <w:p>
            <w:pPr>
              <w:spacing w:after="20"/>
            </w:pPr>
            <w:r>
              <w:rPr>
                <w:b/>
                <w:sz w:val="20"/>
                <w:szCs w:val="20"/>
              </w:rPr>
              <w:t>Iso</w:t>
            </w:r>
          </w:p>
        </w:tc>
        <w:tc>
          <w:tcPr>
            <w:tcW w:type="dxa" w:w="1080"/>
            <w:vAlign w:val="center"/>
            <w:shd w:fill="D9EAF7"/>
          </w:tcPr>
          <w:p>
            <w:pPr>
              <w:spacing w:after="20"/>
            </w:pPr>
            <w:r>
              <w:rPr>
                <w:b/>
                <w:sz w:val="20"/>
                <w:szCs w:val="20"/>
              </w:rPr>
              <w:t>Aud</w:t>
            </w:r>
          </w:p>
        </w:tc>
        <w:tc>
          <w:tcPr>
            <w:tcW w:type="dxa" w:w="1080"/>
            <w:vAlign w:val="center"/>
            <w:shd w:fill="D9EAF7"/>
          </w:tcPr>
          <w:p>
            <w:pPr>
              <w:spacing w:after="20"/>
            </w:pPr>
            <w:r>
              <w:rPr>
                <w:b/>
                <w:sz w:val="20"/>
                <w:szCs w:val="20"/>
              </w:rPr>
              <w:t>App</w:t>
            </w:r>
          </w:p>
        </w:tc>
        <w:tc>
          <w:tcPr>
            <w:tcW w:type="dxa" w:w="1080"/>
            <w:vAlign w:val="center"/>
            <w:shd w:fill="D9EAF7"/>
          </w:tcPr>
          <w:p>
            <w:pPr>
              <w:spacing w:after="20"/>
            </w:pPr>
            <w:r>
              <w:rPr>
                <w:b/>
                <w:sz w:val="20"/>
                <w:szCs w:val="20"/>
              </w:rPr>
              <w:t>Eval</w:t>
            </w:r>
          </w:p>
        </w:tc>
        <w:tc>
          <w:tcPr>
            <w:tcW w:type="dxa" w:w="1080"/>
            <w:vAlign w:val="center"/>
            <w:shd w:fill="D9EAF7"/>
          </w:tcPr>
          <w:p>
            <w:pPr>
              <w:spacing w:after="20"/>
            </w:pPr>
            <w:r>
              <w:rPr>
                <w:b/>
                <w:sz w:val="20"/>
                <w:szCs w:val="20"/>
              </w:rPr>
              <w:t>Comp</w:t>
            </w:r>
          </w:p>
        </w:tc>
        <w:tc>
          <w:tcPr>
            <w:tcW w:type="dxa" w:w="1080"/>
            <w:vAlign w:val="center"/>
            <w:shd w:fill="D9EAF7"/>
          </w:tcPr>
          <w:p>
            <w:pPr>
              <w:spacing w:after="20"/>
            </w:pPr>
            <w:r>
              <w:rPr>
                <w:b/>
                <w:sz w:val="20"/>
                <w:szCs w:val="20"/>
              </w:rPr>
              <w:t>IR</w:t>
            </w:r>
          </w:p>
        </w:tc>
        <w:tc>
          <w:tcPr>
            <w:tcW w:type="dxa" w:w="1080"/>
            <w:vAlign w:val="center"/>
            <w:shd w:fill="D9EAF7"/>
          </w:tcPr>
          <w:p>
            <w:pPr>
              <w:spacing w:after="20"/>
            </w:pPr>
            <w:r>
              <w:rPr>
                <w:b/>
                <w:sz w:val="20"/>
                <w:szCs w:val="20"/>
              </w:rPr>
              <w:t>Main limitation</w:t>
            </w:r>
          </w:p>
        </w:tc>
      </w:tr>
      <w:tr>
        <w:tc>
          <w:tcPr>
            <w:tcW w:type="dxa" w:w="1080"/>
            <w:vAlign w:val="center"/>
          </w:tcPr>
          <w:p>
            <w:pPr>
              <w:spacing w:after="20"/>
            </w:pPr>
            <w:hyperlink r:id="rId10">
              <w:r>
                <w:rPr>
                  <w:color w:val="0563C1"/>
                  <w:u w:val="single"/>
                  <w:sz w:val="20"/>
                  <w:szCs w:val="20"/>
                </w:rPr>
                <w:t>AWS Bedrock AgentCore</w:t>
              </w:r>
            </w:hyperlink>
          </w:p>
        </w:tc>
        <w:tc>
          <w:tcPr>
            <w:tcW w:type="dxa" w:w="1080"/>
            <w:vAlign w:val="center"/>
          </w:tcPr>
          <w:p>
            <w:pPr>
              <w:spacing w:after="20"/>
            </w:pPr>
            <w:r>
              <w:rPr>
                <w:sz w:val="20"/>
                <w:szCs w:val="20"/>
              </w:rPr>
              <w:t>Managed runtime, gateway, policy</w:t>
            </w:r>
          </w:p>
        </w:tc>
        <w:tc>
          <w:tcPr>
            <w:tcW w:type="dxa" w:w="1080"/>
            <w:vAlign w:val="center"/>
          </w:tcPr>
          <w:p>
            <w:pPr>
              <w:spacing w:after="20"/>
            </w:pPr>
            <w:r>
              <w:rPr>
                <w:sz w:val="20"/>
                <w:szCs w:val="20"/>
              </w:rPr>
              <w:t>No</w:t>
            </w:r>
          </w:p>
        </w:tc>
        <w:tc>
          <w:tcPr>
            <w:tcW w:type="dxa" w:w="1080"/>
            <w:vAlign w:val="center"/>
          </w:tcPr>
          <w:p>
            <w:pPr>
              <w:spacing w:after="20"/>
            </w:pPr>
            <w:r>
              <w:rPr>
                <w:sz w:val="20"/>
                <w:szCs w:val="20"/>
              </w:rPr>
              <w:t>Cedar; Dogwood; NL→Cedar</w:t>
            </w:r>
          </w:p>
        </w:tc>
        <w:tc>
          <w:tcPr>
            <w:tcW w:type="dxa" w:w="1080"/>
            <w:vAlign w:val="center"/>
          </w:tcPr>
          <w:p>
            <w:pPr>
              <w:spacing w:after="20"/>
            </w:pPr>
            <w:r>
              <w:rPr>
                <w:sz w:val="20"/>
                <w:szCs w:val="20"/>
              </w:rPr>
              <w:t>P</w:t>
            </w:r>
          </w:p>
        </w:tc>
        <w:tc>
          <w:tcPr>
            <w:tcW w:type="dxa" w:w="1080"/>
            <w:vAlign w:val="center"/>
          </w:tcPr>
          <w:p>
            <w:pPr>
              <w:spacing w:after="20"/>
            </w:pPr>
            <w:r>
              <w:rPr>
                <w:sz w:val="20"/>
                <w:szCs w:val="20"/>
              </w:rPr>
              <w:t>S</w:t>
            </w:r>
          </w:p>
        </w:tc>
        <w:tc>
          <w:tcPr>
            <w:tcW w:type="dxa" w:w="1080"/>
            <w:vAlign w:val="center"/>
          </w:tcPr>
          <w:p>
            <w:pPr>
              <w:spacing w:after="20"/>
            </w:pPr>
            <w:r>
              <w:rPr>
                <w:sz w:val="20"/>
                <w:szCs w:val="20"/>
              </w:rPr>
              <w:t>S</w:t>
            </w:r>
          </w:p>
        </w:tc>
        <w:tc>
          <w:tcPr>
            <w:tcW w:type="dxa" w:w="1080"/>
            <w:vAlign w:val="center"/>
          </w:tcPr>
          <w:p>
            <w:pPr>
              <w:spacing w:after="20"/>
            </w:pPr>
            <w:r>
              <w:rPr>
                <w:sz w:val="20"/>
                <w:szCs w:val="20"/>
              </w:rPr>
              <w:t>S</w:t>
            </w:r>
          </w:p>
        </w:tc>
        <w:tc>
          <w:tcPr>
            <w:tcW w:type="dxa" w:w="1080"/>
            <w:vAlign w:val="center"/>
          </w:tcPr>
          <w:p>
            <w:pPr>
              <w:spacing w:after="20"/>
            </w:pPr>
            <w:r>
              <w:rPr>
                <w:sz w:val="20"/>
                <w:szCs w:val="20"/>
              </w:rPr>
              <w:t>S</w:t>
            </w:r>
          </w:p>
        </w:tc>
        <w:tc>
          <w:tcPr>
            <w:tcW w:type="dxa" w:w="1080"/>
            <w:vAlign w:val="center"/>
          </w:tcPr>
          <w:p>
            <w:pPr>
              <w:spacing w:after="20"/>
            </w:pPr>
            <w:r>
              <w:rPr>
                <w:sz w:val="20"/>
                <w:szCs w:val="20"/>
              </w:rPr>
              <w:t>—</w:t>
            </w:r>
          </w:p>
        </w:tc>
        <w:tc>
          <w:tcPr>
            <w:tcW w:type="dxa" w:w="1080"/>
            <w:vAlign w:val="center"/>
          </w:tcPr>
          <w:p>
            <w:pPr>
              <w:spacing w:after="20"/>
            </w:pPr>
            <w:r>
              <w:rPr>
                <w:sz w:val="20"/>
                <w:szCs w:val="20"/>
              </w:rPr>
              <w:t>S</w:t>
            </w:r>
          </w:p>
        </w:tc>
        <w:tc>
          <w:tcPr>
            <w:tcW w:type="dxa" w:w="1080"/>
            <w:vAlign w:val="center"/>
          </w:tcPr>
          <w:p>
            <w:pPr>
              <w:spacing w:after="20"/>
            </w:pPr>
            <w:r>
              <w:rPr>
                <w:sz w:val="20"/>
                <w:szCs w:val="20"/>
              </w:rPr>
              <w:t>P</w:t>
            </w:r>
          </w:p>
        </w:tc>
        <w:tc>
          <w:tcPr>
            <w:tcW w:type="dxa" w:w="1080"/>
            <w:vAlign w:val="center"/>
          </w:tcPr>
          <w:p>
            <w:pPr>
              <w:spacing w:after="20"/>
            </w:pPr>
            <w:r>
              <w:rPr>
                <w:sz w:val="20"/>
                <w:szCs w:val="20"/>
              </w:rPr>
              <w:t>P</w:t>
            </w:r>
          </w:p>
        </w:tc>
        <w:tc>
          <w:tcPr>
            <w:tcW w:type="dxa" w:w="1080"/>
            <w:vAlign w:val="center"/>
          </w:tcPr>
          <w:p>
            <w:pPr>
              <w:spacing w:after="20"/>
            </w:pPr>
            <w:r>
              <w:rPr>
                <w:sz w:val="20"/>
                <w:szCs w:val="20"/>
              </w:rPr>
              <w:t>Strongest inside AgentCore/AWS paths</w:t>
            </w:r>
          </w:p>
        </w:tc>
      </w:tr>
      <w:tr>
        <w:tc>
          <w:tcPr>
            <w:tcW w:type="dxa" w:w="1080"/>
            <w:vAlign w:val="center"/>
          </w:tcPr>
          <w:p>
            <w:pPr>
              <w:spacing w:after="20"/>
            </w:pPr>
            <w:hyperlink r:id="rId11">
              <w:r>
                <w:rPr>
                  <w:color w:val="0563C1"/>
                  <w:u w:val="single"/>
                  <w:sz w:val="20"/>
                  <w:szCs w:val="20"/>
                </w:rPr>
                <w:t>Google Gemini Enterprise Agent Platform</w:t>
              </w:r>
            </w:hyperlink>
          </w:p>
        </w:tc>
        <w:tc>
          <w:tcPr>
            <w:tcW w:type="dxa" w:w="1080"/>
            <w:vAlign w:val="center"/>
          </w:tcPr>
          <w:p>
            <w:pPr>
              <w:spacing w:after="20"/>
            </w:pPr>
            <w:r>
              <w:rPr>
                <w:sz w:val="20"/>
                <w:szCs w:val="20"/>
              </w:rPr>
              <w:t>Registry, identity, gateway</w:t>
            </w:r>
          </w:p>
        </w:tc>
        <w:tc>
          <w:tcPr>
            <w:tcW w:type="dxa" w:w="1080"/>
            <w:vAlign w:val="center"/>
          </w:tcPr>
          <w:p>
            <w:pPr>
              <w:spacing w:after="20"/>
            </w:pPr>
            <w:r>
              <w:rPr>
                <w:sz w:val="20"/>
                <w:szCs w:val="20"/>
              </w:rPr>
              <w:t>No</w:t>
            </w:r>
          </w:p>
        </w:tc>
        <w:tc>
          <w:tcPr>
            <w:tcW w:type="dxa" w:w="1080"/>
            <w:vAlign w:val="center"/>
          </w:tcPr>
          <w:p>
            <w:pPr>
              <w:spacing w:after="20"/>
            </w:pPr>
            <w:r>
              <w:rPr>
                <w:sz w:val="20"/>
                <w:szCs w:val="20"/>
              </w:rPr>
              <w:t>Natural-language semantic constraints</w:t>
            </w:r>
          </w:p>
        </w:tc>
        <w:tc>
          <w:tcPr>
            <w:tcW w:type="dxa" w:w="1080"/>
            <w:vAlign w:val="center"/>
          </w:tcPr>
          <w:p>
            <w:pPr>
              <w:spacing w:after="20"/>
            </w:pPr>
            <w:r>
              <w:rPr>
                <w:sz w:val="20"/>
                <w:szCs w:val="20"/>
              </w:rPr>
              <w:t>S</w:t>
            </w:r>
          </w:p>
        </w:tc>
        <w:tc>
          <w:tcPr>
            <w:tcW w:type="dxa" w:w="1080"/>
            <w:vAlign w:val="center"/>
          </w:tcPr>
          <w:p>
            <w:pPr>
              <w:spacing w:after="20"/>
            </w:pPr>
            <w:r>
              <w:rPr>
                <w:sz w:val="20"/>
                <w:szCs w:val="20"/>
              </w:rPr>
              <w:t>S</w:t>
            </w:r>
          </w:p>
        </w:tc>
        <w:tc>
          <w:tcPr>
            <w:tcW w:type="dxa" w:w="1080"/>
            <w:vAlign w:val="center"/>
          </w:tcPr>
          <w:p>
            <w:pPr>
              <w:spacing w:after="20"/>
            </w:pPr>
            <w:r>
              <w:rPr>
                <w:sz w:val="20"/>
                <w:szCs w:val="20"/>
              </w:rPr>
              <w:t>S</w:t>
            </w:r>
          </w:p>
        </w:tc>
        <w:tc>
          <w:tcPr>
            <w:tcW w:type="dxa" w:w="1080"/>
            <w:vAlign w:val="center"/>
          </w:tcPr>
          <w:p>
            <w:pPr>
              <w:spacing w:after="20"/>
            </w:pPr>
            <w:r>
              <w:rPr>
                <w:sz w:val="20"/>
                <w:szCs w:val="20"/>
              </w:rPr>
              <w:t>S</w:t>
            </w:r>
          </w:p>
        </w:tc>
        <w:tc>
          <w:tcPr>
            <w:tcW w:type="dxa" w:w="1080"/>
            <w:vAlign w:val="center"/>
          </w:tcPr>
          <w:p>
            <w:pPr>
              <w:spacing w:after="20"/>
            </w:pPr>
            <w:r>
              <w:rPr>
                <w:sz w:val="20"/>
                <w:szCs w:val="20"/>
              </w:rPr>
              <w:t>S</w:t>
            </w:r>
          </w:p>
        </w:tc>
        <w:tc>
          <w:tcPr>
            <w:tcW w:type="dxa" w:w="1080"/>
            <w:vAlign w:val="center"/>
          </w:tcPr>
          <w:p>
            <w:pPr>
              <w:spacing w:after="20"/>
            </w:pPr>
            <w:r>
              <w:rPr>
                <w:sz w:val="20"/>
                <w:szCs w:val="20"/>
              </w:rPr>
              <w:t>—</w:t>
            </w:r>
          </w:p>
        </w:tc>
        <w:tc>
          <w:tcPr>
            <w:tcW w:type="dxa" w:w="1080"/>
            <w:vAlign w:val="center"/>
          </w:tcPr>
          <w:p>
            <w:pPr>
              <w:spacing w:after="20"/>
            </w:pPr>
            <w:r>
              <w:rPr>
                <w:sz w:val="20"/>
                <w:szCs w:val="20"/>
              </w:rPr>
              <w:t>S</w:t>
            </w:r>
          </w:p>
        </w:tc>
        <w:tc>
          <w:tcPr>
            <w:tcW w:type="dxa" w:w="1080"/>
            <w:vAlign w:val="center"/>
          </w:tcPr>
          <w:p>
            <w:pPr>
              <w:spacing w:after="20"/>
            </w:pPr>
            <w:r>
              <w:rPr>
                <w:sz w:val="20"/>
                <w:szCs w:val="20"/>
              </w:rPr>
              <w:t>S</w:t>
            </w:r>
          </w:p>
        </w:tc>
        <w:tc>
          <w:tcPr>
            <w:tcW w:type="dxa" w:w="1080"/>
            <w:vAlign w:val="center"/>
          </w:tcPr>
          <w:p>
            <w:pPr>
              <w:spacing w:after="20"/>
            </w:pPr>
            <w:r>
              <w:rPr>
                <w:sz w:val="20"/>
                <w:szCs w:val="20"/>
              </w:rPr>
              <w:t>P</w:t>
            </w:r>
          </w:p>
        </w:tc>
        <w:tc>
          <w:tcPr>
            <w:tcW w:type="dxa" w:w="1080"/>
            <w:vAlign w:val="center"/>
          </w:tcPr>
          <w:p>
            <w:pPr>
              <w:spacing w:after="20"/>
            </w:pPr>
            <w:r>
              <w:rPr>
                <w:sz w:val="20"/>
                <w:szCs w:val="20"/>
              </w:rPr>
              <w:t>LLM-evaluated constraints are not a deterministic DSL</w:t>
            </w:r>
          </w:p>
        </w:tc>
      </w:tr>
      <w:tr>
        <w:tc>
          <w:tcPr>
            <w:tcW w:type="dxa" w:w="1080"/>
            <w:vAlign w:val="center"/>
          </w:tcPr>
          <w:p>
            <w:pPr>
              <w:spacing w:after="20"/>
            </w:pPr>
            <w:hyperlink r:id="rId12">
              <w:r>
                <w:rPr>
                  <w:color w:val="0563C1"/>
                  <w:u w:val="single"/>
                  <w:sz w:val="20"/>
                  <w:szCs w:val="20"/>
                </w:rPr>
                <w:t>Microsoft Entra Agent ID</w:t>
              </w:r>
            </w:hyperlink>
          </w:p>
        </w:tc>
        <w:tc>
          <w:tcPr>
            <w:tcW w:type="dxa" w:w="1080"/>
            <w:vAlign w:val="center"/>
          </w:tcPr>
          <w:p>
            <w:pPr>
              <w:spacing w:after="20"/>
            </w:pPr>
            <w:r>
              <w:rPr>
                <w:sz w:val="20"/>
                <w:szCs w:val="20"/>
              </w:rPr>
              <w:t>Agent identity and lifecycle</w:t>
            </w:r>
          </w:p>
        </w:tc>
        <w:tc>
          <w:tcPr>
            <w:tcW w:type="dxa" w:w="1080"/>
            <w:vAlign w:val="center"/>
          </w:tcPr>
          <w:p>
            <w:pPr>
              <w:spacing w:after="20"/>
            </w:pPr>
            <w:r>
              <w:rPr>
                <w:sz w:val="20"/>
                <w:szCs w:val="20"/>
              </w:rPr>
              <w:t>No</w:t>
            </w:r>
          </w:p>
        </w:tc>
        <w:tc>
          <w:tcPr>
            <w:tcW w:type="dxa" w:w="1080"/>
            <w:vAlign w:val="center"/>
          </w:tcPr>
          <w:p>
            <w:pPr>
              <w:spacing w:after="20"/>
            </w:pPr>
            <w:r>
              <w:rPr>
                <w:sz w:val="20"/>
                <w:szCs w:val="20"/>
              </w:rPr>
              <w:t>Conditional Access UI/Graph objects</w:t>
            </w:r>
          </w:p>
        </w:tc>
        <w:tc>
          <w:tcPr>
            <w:tcW w:type="dxa" w:w="1080"/>
            <w:vAlign w:val="center"/>
          </w:tcPr>
          <w:p>
            <w:pPr>
              <w:spacing w:after="20"/>
            </w:pPr>
            <w:r>
              <w:rPr>
                <w:sz w:val="20"/>
                <w:szCs w:val="20"/>
              </w:rPr>
              <w:t>S</w:t>
            </w:r>
          </w:p>
        </w:tc>
        <w:tc>
          <w:tcPr>
            <w:tcW w:type="dxa" w:w="1080"/>
            <w:vAlign w:val="center"/>
          </w:tcPr>
          <w:p>
            <w:pPr>
              <w:spacing w:after="20"/>
            </w:pPr>
            <w:r>
              <w:rPr>
                <w:sz w:val="20"/>
                <w:szCs w:val="20"/>
              </w:rPr>
              <w:t>S</w:t>
            </w:r>
          </w:p>
        </w:tc>
        <w:tc>
          <w:tcPr>
            <w:tcW w:type="dxa" w:w="1080"/>
            <w:vAlign w:val="center"/>
          </w:tcPr>
          <w:p>
            <w:pPr>
              <w:spacing w:after="20"/>
            </w:pPr>
            <w:r>
              <w:rPr>
                <w:sz w:val="20"/>
                <w:szCs w:val="20"/>
              </w:rPr>
              <w:t>P</w:t>
            </w:r>
          </w:p>
        </w:tc>
        <w:tc>
          <w:tcPr>
            <w:tcW w:type="dxa" w:w="1080"/>
            <w:vAlign w:val="center"/>
          </w:tcPr>
          <w:p>
            <w:pPr>
              <w:spacing w:after="20"/>
            </w:pPr>
            <w:r>
              <w:rPr>
                <w:sz w:val="20"/>
                <w:szCs w:val="20"/>
              </w:rPr>
              <w:t>—</w:t>
            </w:r>
          </w:p>
        </w:tc>
        <w:tc>
          <w:tcPr>
            <w:tcW w:type="dxa" w:w="1080"/>
            <w:vAlign w:val="center"/>
          </w:tcPr>
          <w:p>
            <w:pPr>
              <w:spacing w:after="20"/>
            </w:pPr>
            <w:r>
              <w:rPr>
                <w:sz w:val="20"/>
                <w:szCs w:val="20"/>
              </w:rPr>
              <w:t>S</w:t>
            </w:r>
          </w:p>
        </w:tc>
        <w:tc>
          <w:tcPr>
            <w:tcW w:type="dxa" w:w="1080"/>
            <w:vAlign w:val="center"/>
          </w:tcPr>
          <w:p>
            <w:pPr>
              <w:spacing w:after="20"/>
            </w:pPr>
            <w:r>
              <w:rPr>
                <w:sz w:val="20"/>
                <w:szCs w:val="20"/>
              </w:rPr>
              <w:t>P</w:t>
            </w:r>
          </w:p>
        </w:tc>
        <w:tc>
          <w:tcPr>
            <w:tcW w:type="dxa" w:w="1080"/>
            <w:vAlign w:val="center"/>
          </w:tcPr>
          <w:p>
            <w:pPr>
              <w:spacing w:after="20"/>
            </w:pPr>
            <w:r>
              <w:rPr>
                <w:sz w:val="20"/>
                <w:szCs w:val="20"/>
              </w:rPr>
              <w:t>S</w:t>
            </w:r>
          </w:p>
        </w:tc>
        <w:tc>
          <w:tcPr>
            <w:tcW w:type="dxa" w:w="1080"/>
            <w:vAlign w:val="center"/>
          </w:tcPr>
          <w:p>
            <w:pPr>
              <w:spacing w:after="20"/>
            </w:pPr>
            <w:r>
              <w:rPr>
                <w:sz w:val="20"/>
                <w:szCs w:val="20"/>
              </w:rPr>
              <w:t>S</w:t>
            </w:r>
          </w:p>
        </w:tc>
        <w:tc>
          <w:tcPr>
            <w:tcW w:type="dxa" w:w="1080"/>
            <w:vAlign w:val="center"/>
          </w:tcPr>
          <w:p>
            <w:pPr>
              <w:spacing w:after="20"/>
            </w:pPr>
            <w:r>
              <w:rPr>
                <w:sz w:val="20"/>
                <w:szCs w:val="20"/>
              </w:rPr>
              <w:t>P</w:t>
            </w:r>
          </w:p>
        </w:tc>
        <w:tc>
          <w:tcPr>
            <w:tcW w:type="dxa" w:w="1080"/>
            <w:vAlign w:val="center"/>
          </w:tcPr>
          <w:p>
            <w:pPr>
              <w:spacing w:after="20"/>
            </w:pPr>
            <w:r>
              <w:rPr>
                <w:sz w:val="20"/>
                <w:szCs w:val="20"/>
              </w:rPr>
              <w:t>Not semantic tool control or isolation</w:t>
            </w:r>
          </w:p>
        </w:tc>
      </w:tr>
      <w:tr>
        <w:tc>
          <w:tcPr>
            <w:tcW w:type="dxa" w:w="1080"/>
            <w:vAlign w:val="center"/>
          </w:tcPr>
          <w:p>
            <w:pPr>
              <w:spacing w:after="20"/>
            </w:pPr>
            <w:hyperlink r:id="rId9">
              <w:r>
                <w:rPr>
                  <w:color w:val="0563C1"/>
                  <w:u w:val="single"/>
                  <w:sz w:val="20"/>
                  <w:szCs w:val="20"/>
                </w:rPr>
                <w:t>Microsoft Agent Governance Toolkit</w:t>
              </w:r>
            </w:hyperlink>
          </w:p>
        </w:tc>
        <w:tc>
          <w:tcPr>
            <w:tcW w:type="dxa" w:w="1080"/>
            <w:vAlign w:val="center"/>
          </w:tcPr>
          <w:p>
            <w:pPr>
              <w:spacing w:after="20"/>
            </w:pPr>
            <w:r>
              <w:rPr>
                <w:sz w:val="20"/>
                <w:szCs w:val="20"/>
              </w:rPr>
              <w:t>Embeddable runtime policy/enforcement middleware</w:t>
            </w:r>
          </w:p>
        </w:tc>
        <w:tc>
          <w:tcPr>
            <w:tcW w:type="dxa" w:w="1080"/>
            <w:vAlign w:val="center"/>
          </w:tcPr>
          <w:p>
            <w:pPr>
              <w:spacing w:after="20"/>
            </w:pPr>
            <w:r>
              <w:rPr>
                <w:sz w:val="20"/>
                <w:szCs w:val="20"/>
              </w:rPr>
              <w:t>Yes</w:t>
            </w:r>
          </w:p>
        </w:tc>
        <w:tc>
          <w:tcPr>
            <w:tcW w:type="dxa" w:w="1080"/>
            <w:vAlign w:val="center"/>
          </w:tcPr>
          <w:p>
            <w:pPr>
              <w:spacing w:after="20"/>
            </w:pPr>
            <w:r>
              <w:rPr>
                <w:sz w:val="20"/>
                <w:szCs w:val="20"/>
              </w:rPr>
              <w:t>YAML/JSON rule DSL; Rego; Cedar; custom</w:t>
            </w:r>
          </w:p>
        </w:tc>
        <w:tc>
          <w:tcPr>
            <w:tcW w:type="dxa" w:w="1080"/>
            <w:vAlign w:val="center"/>
          </w:tcPr>
          <w:p>
            <w:pPr>
              <w:spacing w:after="20"/>
            </w:pPr>
            <w:r>
              <w:rPr>
                <w:sz w:val="20"/>
                <w:szCs w:val="20"/>
              </w:rPr>
              <w:t>P</w:t>
            </w:r>
          </w:p>
        </w:tc>
        <w:tc>
          <w:tcPr>
            <w:tcW w:type="dxa" w:w="1080"/>
            <w:vAlign w:val="center"/>
          </w:tcPr>
          <w:p>
            <w:pPr>
              <w:spacing w:after="20"/>
            </w:pPr>
            <w:r>
              <w:rPr>
                <w:sz w:val="20"/>
                <w:szCs w:val="20"/>
              </w:rPr>
              <w:t>S</w:t>
            </w:r>
          </w:p>
        </w:tc>
        <w:tc>
          <w:tcPr>
            <w:tcW w:type="dxa" w:w="1080"/>
            <w:vAlign w:val="center"/>
          </w:tcPr>
          <w:p>
            <w:pPr>
              <w:spacing w:after="20"/>
            </w:pPr>
            <w:r>
              <w:rPr>
                <w:sz w:val="20"/>
                <w:szCs w:val="20"/>
              </w:rPr>
              <w:t>S</w:t>
            </w:r>
          </w:p>
        </w:tc>
        <w:tc>
          <w:tcPr>
            <w:tcW w:type="dxa" w:w="1080"/>
            <w:vAlign w:val="center"/>
          </w:tcPr>
          <w:p>
            <w:pPr>
              <w:spacing w:after="20"/>
            </w:pPr>
            <w:r>
              <w:rPr>
                <w:sz w:val="20"/>
                <w:szCs w:val="20"/>
              </w:rPr>
              <w:t>P</w:t>
            </w:r>
          </w:p>
        </w:tc>
        <w:tc>
          <w:tcPr>
            <w:tcW w:type="dxa" w:w="1080"/>
            <w:vAlign w:val="center"/>
          </w:tcPr>
          <w:p>
            <w:pPr>
              <w:spacing w:after="20"/>
            </w:pPr>
            <w:r>
              <w:rPr>
                <w:sz w:val="20"/>
                <w:szCs w:val="20"/>
              </w:rPr>
              <w:t>S</w:t>
            </w:r>
          </w:p>
        </w:tc>
        <w:tc>
          <w:tcPr>
            <w:tcW w:type="dxa" w:w="1080"/>
            <w:vAlign w:val="center"/>
          </w:tcPr>
          <w:p>
            <w:pPr>
              <w:spacing w:after="20"/>
            </w:pPr>
            <w:r>
              <w:rPr>
                <w:sz w:val="20"/>
                <w:szCs w:val="20"/>
              </w:rPr>
              <w:t>P</w:t>
            </w:r>
          </w:p>
        </w:tc>
        <w:tc>
          <w:tcPr>
            <w:tcW w:type="dxa" w:w="1080"/>
            <w:vAlign w:val="center"/>
          </w:tcPr>
          <w:p>
            <w:pPr>
              <w:spacing w:after="20"/>
            </w:pPr>
            <w:r>
              <w:rPr>
                <w:sz w:val="20"/>
                <w:szCs w:val="20"/>
              </w:rPr>
              <w:t>P</w:t>
            </w:r>
          </w:p>
        </w:tc>
        <w:tc>
          <w:tcPr>
            <w:tcW w:type="dxa" w:w="1080"/>
            <w:vAlign w:val="center"/>
          </w:tcPr>
          <w:p>
            <w:pPr>
              <w:spacing w:after="20"/>
            </w:pPr>
            <w:r>
              <w:rPr>
                <w:sz w:val="20"/>
                <w:szCs w:val="20"/>
              </w:rPr>
              <w:t>P</w:t>
            </w:r>
          </w:p>
        </w:tc>
        <w:tc>
          <w:tcPr>
            <w:tcW w:type="dxa" w:w="1080"/>
            <w:vAlign w:val="center"/>
          </w:tcPr>
          <w:p>
            <w:pPr>
              <w:spacing w:after="20"/>
            </w:pPr>
            <w:r>
              <w:rPr>
                <w:sz w:val="20"/>
                <w:szCs w:val="20"/>
              </w:rPr>
              <w:t>P</w:t>
            </w:r>
          </w:p>
        </w:tc>
        <w:tc>
          <w:tcPr>
            <w:tcW w:type="dxa" w:w="1080"/>
            <w:vAlign w:val="center"/>
          </w:tcPr>
          <w:p>
            <w:pPr>
              <w:spacing w:after="20"/>
            </w:pPr>
            <w:r>
              <w:rPr>
                <w:sz w:val="20"/>
                <w:szCs w:val="20"/>
              </w:rPr>
              <w:t>Public preview; host must provide complete mediation and hard controls</w:t>
            </w:r>
          </w:p>
        </w:tc>
      </w:tr>
      <w:tr>
        <w:tc>
          <w:tcPr>
            <w:tcW w:type="dxa" w:w="1080"/>
            <w:vAlign w:val="center"/>
          </w:tcPr>
          <w:p>
            <w:pPr>
              <w:spacing w:after="20"/>
            </w:pPr>
            <w:hyperlink r:id="rId13">
              <w:r>
                <w:rPr>
                  <w:color w:val="0563C1"/>
                  <w:u w:val="single"/>
                  <w:sz w:val="20"/>
                  <w:szCs w:val="20"/>
                </w:rPr>
                <w:t>Ping Agent Governance</w:t>
              </w:r>
            </w:hyperlink>
          </w:p>
        </w:tc>
        <w:tc>
          <w:tcPr>
            <w:tcW w:type="dxa" w:w="1080"/>
            <w:vAlign w:val="center"/>
          </w:tcPr>
          <w:p>
            <w:pPr>
              <w:spacing w:after="20"/>
            </w:pPr>
            <w:r>
              <w:rPr>
                <w:sz w:val="20"/>
                <w:szCs w:val="20"/>
              </w:rPr>
              <w:t>Cross-platform agent IGA</w:t>
            </w:r>
          </w:p>
        </w:tc>
        <w:tc>
          <w:tcPr>
            <w:tcW w:type="dxa" w:w="1080"/>
            <w:vAlign w:val="center"/>
          </w:tcPr>
          <w:p>
            <w:pPr>
              <w:spacing w:after="20"/>
            </w:pPr>
            <w:r>
              <w:rPr>
                <w:sz w:val="20"/>
                <w:szCs w:val="20"/>
              </w:rPr>
              <w:t>No</w:t>
            </w:r>
          </w:p>
        </w:tc>
        <w:tc>
          <w:tcPr>
            <w:tcW w:type="dxa" w:w="1080"/>
            <w:vAlign w:val="center"/>
          </w:tcPr>
          <w:p>
            <w:pPr>
              <w:spacing w:after="20"/>
            </w:pPr>
            <w:r>
              <w:rPr>
                <w:sz w:val="20"/>
                <w:szCs w:val="20"/>
              </w:rPr>
              <w:t>Workflow/UI controls; no public DSL</w:t>
            </w:r>
          </w:p>
        </w:tc>
        <w:tc>
          <w:tcPr>
            <w:tcW w:type="dxa" w:w="1080"/>
            <w:vAlign w:val="center"/>
          </w:tcPr>
          <w:p>
            <w:pPr>
              <w:spacing w:after="20"/>
            </w:pPr>
            <w:r>
              <w:rPr>
                <w:sz w:val="20"/>
                <w:szCs w:val="20"/>
              </w:rPr>
              <w:t>S</w:t>
            </w:r>
          </w:p>
        </w:tc>
        <w:tc>
          <w:tcPr>
            <w:tcW w:type="dxa" w:w="1080"/>
            <w:vAlign w:val="center"/>
          </w:tcPr>
          <w:p>
            <w:pPr>
              <w:spacing w:after="20"/>
            </w:pPr>
            <w:r>
              <w:rPr>
                <w:sz w:val="20"/>
                <w:szCs w:val="20"/>
              </w:rPr>
              <w:t>S</w:t>
            </w:r>
          </w:p>
        </w:tc>
        <w:tc>
          <w:tcPr>
            <w:tcW w:type="dxa" w:w="1080"/>
            <w:vAlign w:val="center"/>
          </w:tcPr>
          <w:p>
            <w:pPr>
              <w:spacing w:after="20"/>
            </w:pPr>
            <w:r>
              <w:rPr>
                <w:sz w:val="20"/>
                <w:szCs w:val="20"/>
              </w:rPr>
              <w:t>P</w:t>
            </w:r>
          </w:p>
        </w:tc>
        <w:tc>
          <w:tcPr>
            <w:tcW w:type="dxa" w:w="1080"/>
            <w:vAlign w:val="center"/>
          </w:tcPr>
          <w:p>
            <w:pPr>
              <w:spacing w:after="20"/>
            </w:pPr>
            <w:r>
              <w:rPr>
                <w:sz w:val="20"/>
                <w:szCs w:val="20"/>
              </w:rPr>
              <w:t>—</w:t>
            </w:r>
          </w:p>
        </w:tc>
        <w:tc>
          <w:tcPr>
            <w:tcW w:type="dxa" w:w="1080"/>
            <w:vAlign w:val="center"/>
          </w:tcPr>
          <w:p>
            <w:pPr>
              <w:spacing w:after="20"/>
            </w:pPr>
            <w:r>
              <w:rPr>
                <w:sz w:val="20"/>
                <w:szCs w:val="20"/>
              </w:rPr>
              <w:t>S</w:t>
            </w:r>
          </w:p>
        </w:tc>
        <w:tc>
          <w:tcPr>
            <w:tcW w:type="dxa" w:w="1080"/>
            <w:vAlign w:val="center"/>
          </w:tcPr>
          <w:p>
            <w:pPr>
              <w:spacing w:after="20"/>
            </w:pPr>
            <w:r>
              <w:rPr>
                <w:sz w:val="20"/>
                <w:szCs w:val="20"/>
              </w:rPr>
              <w:t>S</w:t>
            </w:r>
          </w:p>
        </w:tc>
        <w:tc>
          <w:tcPr>
            <w:tcW w:type="dxa" w:w="1080"/>
            <w:vAlign w:val="center"/>
          </w:tcPr>
          <w:p>
            <w:pPr>
              <w:spacing w:after="20"/>
            </w:pPr>
            <w:r>
              <w:rPr>
                <w:sz w:val="20"/>
                <w:szCs w:val="20"/>
              </w:rPr>
              <w:t>S</w:t>
            </w:r>
          </w:p>
        </w:tc>
        <w:tc>
          <w:tcPr>
            <w:tcW w:type="dxa" w:w="1080"/>
            <w:vAlign w:val="center"/>
          </w:tcPr>
          <w:p>
            <w:pPr>
              <w:spacing w:after="20"/>
            </w:pPr>
            <w:r>
              <w:rPr>
                <w:sz w:val="20"/>
                <w:szCs w:val="20"/>
              </w:rPr>
              <w:t>S</w:t>
            </w:r>
          </w:p>
        </w:tc>
        <w:tc>
          <w:tcPr>
            <w:tcW w:type="dxa" w:w="1080"/>
            <w:vAlign w:val="center"/>
          </w:tcPr>
          <w:p>
            <w:pPr>
              <w:spacing w:after="20"/>
            </w:pPr>
            <w:r>
              <w:rPr>
                <w:sz w:val="20"/>
                <w:szCs w:val="20"/>
              </w:rPr>
              <w:t>P</w:t>
            </w:r>
          </w:p>
        </w:tc>
        <w:tc>
          <w:tcPr>
            <w:tcW w:type="dxa" w:w="1080"/>
            <w:vAlign w:val="center"/>
          </w:tcPr>
          <w:p>
            <w:pPr>
              <w:spacing w:after="20"/>
            </w:pPr>
            <w:r>
              <w:rPr>
                <w:sz w:val="20"/>
                <w:szCs w:val="20"/>
              </w:rPr>
              <w:t>Runtime enforcement and policy grammar not public</w:t>
            </w:r>
          </w:p>
        </w:tc>
      </w:tr>
      <w:tr>
        <w:tc>
          <w:tcPr>
            <w:tcW w:type="dxa" w:w="1080"/>
            <w:vAlign w:val="center"/>
          </w:tcPr>
          <w:p>
            <w:pPr>
              <w:spacing w:after="20"/>
            </w:pPr>
            <w:hyperlink r:id="rId14">
              <w:r>
                <w:rPr>
                  <w:color w:val="0563C1"/>
                  <w:u w:val="single"/>
                  <w:sz w:val="20"/>
                  <w:szCs w:val="20"/>
                </w:rPr>
                <w:t>Cisco Zero Trust for Agentic AI</w:t>
              </w:r>
            </w:hyperlink>
          </w:p>
        </w:tc>
        <w:tc>
          <w:tcPr>
            <w:tcW w:type="dxa" w:w="1080"/>
            <w:vAlign w:val="center"/>
          </w:tcPr>
          <w:p>
            <w:pPr>
              <w:spacing w:after="20"/>
            </w:pPr>
            <w:r>
              <w:rPr>
                <w:sz w:val="20"/>
                <w:szCs w:val="20"/>
              </w:rPr>
              <w:t>Identity, access, behavior</w:t>
            </w:r>
          </w:p>
        </w:tc>
        <w:tc>
          <w:tcPr>
            <w:tcW w:type="dxa" w:w="1080"/>
            <w:vAlign w:val="center"/>
          </w:tcPr>
          <w:p>
            <w:pPr>
              <w:spacing w:after="20"/>
            </w:pPr>
            <w:r>
              <w:rPr>
                <w:sz w:val="20"/>
                <w:szCs w:val="20"/>
              </w:rPr>
              <w:t>Partial</w:t>
            </w:r>
          </w:p>
        </w:tc>
        <w:tc>
          <w:tcPr>
            <w:tcW w:type="dxa" w:w="1080"/>
            <w:vAlign w:val="center"/>
          </w:tcPr>
          <w:p>
            <w:pPr>
              <w:spacing w:after="20"/>
            </w:pPr>
            <w:r>
              <w:rPr>
                <w:sz w:val="20"/>
                <w:szCs w:val="20"/>
              </w:rPr>
              <w:t>UI rules; natural-language Policy Studio</w:t>
            </w:r>
          </w:p>
        </w:tc>
        <w:tc>
          <w:tcPr>
            <w:tcW w:type="dxa" w:w="1080"/>
            <w:vAlign w:val="center"/>
          </w:tcPr>
          <w:p>
            <w:pPr>
              <w:spacing w:after="20"/>
            </w:pPr>
            <w:r>
              <w:rPr>
                <w:sz w:val="20"/>
                <w:szCs w:val="20"/>
              </w:rPr>
              <w:t>S</w:t>
            </w:r>
          </w:p>
        </w:tc>
        <w:tc>
          <w:tcPr>
            <w:tcW w:type="dxa" w:w="1080"/>
            <w:vAlign w:val="center"/>
          </w:tcPr>
          <w:p>
            <w:pPr>
              <w:spacing w:after="20"/>
            </w:pPr>
            <w:r>
              <w:rPr>
                <w:sz w:val="20"/>
                <w:szCs w:val="20"/>
              </w:rPr>
              <w:t>S</w:t>
            </w:r>
          </w:p>
        </w:tc>
        <w:tc>
          <w:tcPr>
            <w:tcW w:type="dxa" w:w="1080"/>
            <w:vAlign w:val="center"/>
          </w:tcPr>
          <w:p>
            <w:pPr>
              <w:spacing w:after="20"/>
            </w:pPr>
            <w:r>
              <w:rPr>
                <w:sz w:val="20"/>
                <w:szCs w:val="20"/>
              </w:rPr>
              <w:t>S</w:t>
            </w:r>
          </w:p>
        </w:tc>
        <w:tc>
          <w:tcPr>
            <w:tcW w:type="dxa" w:w="1080"/>
            <w:vAlign w:val="center"/>
          </w:tcPr>
          <w:p>
            <w:pPr>
              <w:spacing w:after="20"/>
            </w:pPr>
            <w:r>
              <w:rPr>
                <w:sz w:val="20"/>
                <w:szCs w:val="20"/>
              </w:rPr>
              <w:t>—</w:t>
            </w:r>
          </w:p>
        </w:tc>
        <w:tc>
          <w:tcPr>
            <w:tcW w:type="dxa" w:w="1080"/>
            <w:vAlign w:val="center"/>
          </w:tcPr>
          <w:p>
            <w:pPr>
              <w:spacing w:after="20"/>
            </w:pPr>
            <w:r>
              <w:rPr>
                <w:sz w:val="20"/>
                <w:szCs w:val="20"/>
              </w:rPr>
              <w:t>S</w:t>
            </w:r>
          </w:p>
        </w:tc>
        <w:tc>
          <w:tcPr>
            <w:tcW w:type="dxa" w:w="1080"/>
            <w:vAlign w:val="center"/>
          </w:tcPr>
          <w:p>
            <w:pPr>
              <w:spacing w:after="20"/>
            </w:pPr>
            <w:r>
              <w:rPr>
                <w:sz w:val="20"/>
                <w:szCs w:val="20"/>
              </w:rPr>
              <w:t>—</w:t>
            </w:r>
          </w:p>
        </w:tc>
        <w:tc>
          <w:tcPr>
            <w:tcW w:type="dxa" w:w="1080"/>
            <w:vAlign w:val="center"/>
          </w:tcPr>
          <w:p>
            <w:pPr>
              <w:spacing w:after="20"/>
            </w:pPr>
            <w:r>
              <w:rPr>
                <w:sz w:val="20"/>
                <w:szCs w:val="20"/>
              </w:rPr>
              <w:t>S</w:t>
            </w:r>
          </w:p>
        </w:tc>
        <w:tc>
          <w:tcPr>
            <w:tcW w:type="dxa" w:w="1080"/>
            <w:vAlign w:val="center"/>
          </w:tcPr>
          <w:p>
            <w:pPr>
              <w:spacing w:after="20"/>
            </w:pPr>
            <w:r>
              <w:rPr>
                <w:sz w:val="20"/>
                <w:szCs w:val="20"/>
              </w:rPr>
              <w:t>P</w:t>
            </w:r>
          </w:p>
        </w:tc>
        <w:tc>
          <w:tcPr>
            <w:tcW w:type="dxa" w:w="1080"/>
            <w:vAlign w:val="center"/>
          </w:tcPr>
          <w:p>
            <w:pPr>
              <w:spacing w:after="20"/>
            </w:pPr>
            <w:r>
              <w:rPr>
                <w:sz w:val="20"/>
                <w:szCs w:val="20"/>
              </w:rPr>
              <w:t>S</w:t>
            </w:r>
          </w:p>
        </w:tc>
        <w:tc>
          <w:tcPr>
            <w:tcW w:type="dxa" w:w="1080"/>
            <w:vAlign w:val="center"/>
          </w:tcPr>
          <w:p>
            <w:pPr>
              <w:spacing w:after="20"/>
            </w:pPr>
            <w:r>
              <w:rPr>
                <w:sz w:val="20"/>
                <w:szCs w:val="20"/>
              </w:rPr>
              <w:t>Generated internal representation is undisclosed</w:t>
            </w:r>
          </w:p>
        </w:tc>
      </w:tr>
      <w:tr>
        <w:tc>
          <w:tcPr>
            <w:tcW w:type="dxa" w:w="1080"/>
            <w:vAlign w:val="center"/>
          </w:tcPr>
          <w:p>
            <w:pPr>
              <w:spacing w:after="20"/>
            </w:pPr>
            <w:hyperlink r:id="rId15">
              <w:r>
                <w:rPr>
                  <w:color w:val="0563C1"/>
                  <w:u w:val="single"/>
                  <w:sz w:val="20"/>
                  <w:szCs w:val="20"/>
                </w:rPr>
                <w:t>Palo Alto Prisma AIRS</w:t>
              </w:r>
            </w:hyperlink>
          </w:p>
        </w:tc>
        <w:tc>
          <w:tcPr>
            <w:tcW w:type="dxa" w:w="1080"/>
            <w:vAlign w:val="center"/>
          </w:tcPr>
          <w:p>
            <w:pPr>
              <w:spacing w:after="20"/>
            </w:pPr>
            <w:r>
              <w:rPr>
                <w:sz w:val="20"/>
                <w:szCs w:val="20"/>
              </w:rPr>
              <w:t>AI posture/runtime security</w:t>
            </w:r>
          </w:p>
        </w:tc>
        <w:tc>
          <w:tcPr>
            <w:tcW w:type="dxa" w:w="1080"/>
            <w:vAlign w:val="center"/>
          </w:tcPr>
          <w:p>
            <w:pPr>
              <w:spacing w:after="20"/>
            </w:pPr>
            <w:r>
              <w:rPr>
                <w:sz w:val="20"/>
                <w:szCs w:val="20"/>
              </w:rPr>
              <w:t>Partial</w:t>
            </w:r>
          </w:p>
        </w:tc>
        <w:tc>
          <w:tcPr>
            <w:tcW w:type="dxa" w:w="1080"/>
            <w:vAlign w:val="center"/>
          </w:tcPr>
          <w:p>
            <w:pPr>
              <w:spacing w:after="20"/>
            </w:pPr>
            <w:r>
              <w:rPr>
                <w:sz w:val="20"/>
                <w:szCs w:val="20"/>
              </w:rPr>
              <w:t>UI/API profiles; semantic topics</w:t>
            </w:r>
          </w:p>
        </w:tc>
        <w:tc>
          <w:tcPr>
            <w:tcW w:type="dxa" w:w="1080"/>
            <w:vAlign w:val="center"/>
          </w:tcPr>
          <w:p>
            <w:pPr>
              <w:spacing w:after="20"/>
            </w:pPr>
            <w:r>
              <w:rPr>
                <w:sz w:val="20"/>
                <w:szCs w:val="20"/>
              </w:rPr>
              <w:t>S</w:t>
            </w:r>
          </w:p>
        </w:tc>
        <w:tc>
          <w:tcPr>
            <w:tcW w:type="dxa" w:w="1080"/>
            <w:vAlign w:val="center"/>
          </w:tcPr>
          <w:p>
            <w:pPr>
              <w:spacing w:after="20"/>
            </w:pPr>
            <w:r>
              <w:rPr>
                <w:sz w:val="20"/>
                <w:szCs w:val="20"/>
              </w:rPr>
              <w:t>P</w:t>
            </w:r>
          </w:p>
        </w:tc>
        <w:tc>
          <w:tcPr>
            <w:tcW w:type="dxa" w:w="1080"/>
            <w:vAlign w:val="center"/>
          </w:tcPr>
          <w:p>
            <w:pPr>
              <w:spacing w:after="20"/>
            </w:pPr>
            <w:r>
              <w:rPr>
                <w:sz w:val="20"/>
                <w:szCs w:val="20"/>
              </w:rPr>
              <w:t>S</w:t>
            </w:r>
          </w:p>
        </w:tc>
        <w:tc>
          <w:tcPr>
            <w:tcW w:type="dxa" w:w="1080"/>
            <w:vAlign w:val="center"/>
          </w:tcPr>
          <w:p>
            <w:pPr>
              <w:spacing w:after="20"/>
            </w:pPr>
            <w:r>
              <w:rPr>
                <w:sz w:val="20"/>
                <w:szCs w:val="20"/>
              </w:rPr>
              <w:t>—</w:t>
            </w:r>
          </w:p>
        </w:tc>
        <w:tc>
          <w:tcPr>
            <w:tcW w:type="dxa" w:w="1080"/>
            <w:vAlign w:val="center"/>
          </w:tcPr>
          <w:p>
            <w:pPr>
              <w:spacing w:after="20"/>
            </w:pPr>
            <w:r>
              <w:rPr>
                <w:sz w:val="20"/>
                <w:szCs w:val="20"/>
              </w:rPr>
              <w:t>S</w:t>
            </w:r>
          </w:p>
        </w:tc>
        <w:tc>
          <w:tcPr>
            <w:tcW w:type="dxa" w:w="1080"/>
            <w:vAlign w:val="center"/>
          </w:tcPr>
          <w:p>
            <w:pPr>
              <w:spacing w:after="20"/>
            </w:pPr>
            <w:r>
              <w:rPr>
                <w:sz w:val="20"/>
                <w:szCs w:val="20"/>
              </w:rPr>
              <w:t>—</w:t>
            </w:r>
          </w:p>
        </w:tc>
        <w:tc>
          <w:tcPr>
            <w:tcW w:type="dxa" w:w="1080"/>
            <w:vAlign w:val="center"/>
          </w:tcPr>
          <w:p>
            <w:pPr>
              <w:spacing w:after="20"/>
            </w:pPr>
            <w:r>
              <w:rPr>
                <w:sz w:val="20"/>
                <w:szCs w:val="20"/>
              </w:rPr>
              <w:t>S</w:t>
            </w:r>
          </w:p>
        </w:tc>
        <w:tc>
          <w:tcPr>
            <w:tcW w:type="dxa" w:w="1080"/>
            <w:vAlign w:val="center"/>
          </w:tcPr>
          <w:p>
            <w:pPr>
              <w:spacing w:after="20"/>
            </w:pPr>
            <w:r>
              <w:rPr>
                <w:sz w:val="20"/>
                <w:szCs w:val="20"/>
              </w:rPr>
              <w:t>P</w:t>
            </w:r>
          </w:p>
        </w:tc>
        <w:tc>
          <w:tcPr>
            <w:tcW w:type="dxa" w:w="1080"/>
            <w:vAlign w:val="center"/>
          </w:tcPr>
          <w:p>
            <w:pPr>
              <w:spacing w:after="20"/>
            </w:pPr>
            <w:r>
              <w:rPr>
                <w:sz w:val="20"/>
                <w:szCs w:val="20"/>
              </w:rPr>
              <w:t>S</w:t>
            </w:r>
          </w:p>
        </w:tc>
        <w:tc>
          <w:tcPr>
            <w:tcW w:type="dxa" w:w="1080"/>
            <w:vAlign w:val="center"/>
          </w:tcPr>
          <w:p>
            <w:pPr>
              <w:spacing w:after="20"/>
            </w:pPr>
            <w:r>
              <w:rPr>
                <w:sz w:val="20"/>
                <w:szCs w:val="20"/>
              </w:rPr>
              <w:t>No public general-purpose policy DSL</w:t>
            </w:r>
          </w:p>
        </w:tc>
      </w:tr>
      <w:tr>
        <w:tc>
          <w:tcPr>
            <w:tcW w:type="dxa" w:w="1080"/>
            <w:vAlign w:val="center"/>
          </w:tcPr>
          <w:p>
            <w:pPr>
              <w:spacing w:after="20"/>
            </w:pPr>
            <w:hyperlink r:id="rId16">
              <w:r>
                <w:rPr>
                  <w:color w:val="0563C1"/>
                  <w:u w:val="single"/>
                  <w:sz w:val="20"/>
                  <w:szCs w:val="20"/>
                </w:rPr>
                <w:t>Holistic AI Guardian Agents</w:t>
              </w:r>
            </w:hyperlink>
          </w:p>
        </w:tc>
        <w:tc>
          <w:tcPr>
            <w:tcW w:type="dxa" w:w="1080"/>
            <w:vAlign w:val="center"/>
          </w:tcPr>
          <w:p>
            <w:pPr>
              <w:spacing w:after="20"/>
            </w:pPr>
            <w:r>
              <w:rPr>
                <w:sz w:val="20"/>
                <w:szCs w:val="20"/>
              </w:rPr>
              <w:t>Monitoring and containment</w:t>
            </w:r>
          </w:p>
        </w:tc>
        <w:tc>
          <w:tcPr>
            <w:tcW w:type="dxa" w:w="1080"/>
            <w:vAlign w:val="center"/>
          </w:tcPr>
          <w:p>
            <w:pPr>
              <w:spacing w:after="20"/>
            </w:pPr>
            <w:r>
              <w:rPr>
                <w:sz w:val="20"/>
                <w:szCs w:val="20"/>
              </w:rPr>
              <w:t>No</w:t>
            </w:r>
          </w:p>
        </w:tc>
        <w:tc>
          <w:tcPr>
            <w:tcW w:type="dxa" w:w="1080"/>
            <w:vAlign w:val="center"/>
          </w:tcPr>
          <w:p>
            <w:pPr>
              <w:spacing w:after="20"/>
            </w:pPr>
            <w:r>
              <w:rPr>
                <w:sz w:val="20"/>
                <w:szCs w:val="20"/>
              </w:rPr>
              <w:t>Product rules/workflows; no public DSL</w:t>
            </w:r>
          </w:p>
        </w:tc>
        <w:tc>
          <w:tcPr>
            <w:tcW w:type="dxa" w:w="1080"/>
            <w:vAlign w:val="center"/>
          </w:tcPr>
          <w:p>
            <w:pPr>
              <w:spacing w:after="20"/>
            </w:pPr>
            <w:r>
              <w:rPr>
                <w:sz w:val="20"/>
                <w:szCs w:val="20"/>
              </w:rPr>
              <w:t>S</w:t>
            </w:r>
          </w:p>
        </w:tc>
        <w:tc>
          <w:tcPr>
            <w:tcW w:type="dxa" w:w="1080"/>
            <w:vAlign w:val="center"/>
          </w:tcPr>
          <w:p>
            <w:pPr>
              <w:spacing w:after="20"/>
            </w:pPr>
            <w:r>
              <w:rPr>
                <w:sz w:val="20"/>
                <w:szCs w:val="20"/>
              </w:rPr>
              <w:t>P</w:t>
            </w:r>
          </w:p>
        </w:tc>
        <w:tc>
          <w:tcPr>
            <w:tcW w:type="dxa" w:w="1080"/>
            <w:vAlign w:val="center"/>
          </w:tcPr>
          <w:p>
            <w:pPr>
              <w:spacing w:after="20"/>
            </w:pPr>
            <w:r>
              <w:rPr>
                <w:sz w:val="20"/>
                <w:szCs w:val="20"/>
              </w:rPr>
              <w:t>S</w:t>
            </w:r>
          </w:p>
        </w:tc>
        <w:tc>
          <w:tcPr>
            <w:tcW w:type="dxa" w:w="1080"/>
            <w:vAlign w:val="center"/>
          </w:tcPr>
          <w:p>
            <w:pPr>
              <w:spacing w:after="20"/>
            </w:pPr>
            <w:r>
              <w:rPr>
                <w:sz w:val="20"/>
                <w:szCs w:val="20"/>
              </w:rPr>
              <w:t>—</w:t>
            </w:r>
          </w:p>
        </w:tc>
        <w:tc>
          <w:tcPr>
            <w:tcW w:type="dxa" w:w="1080"/>
            <w:vAlign w:val="center"/>
          </w:tcPr>
          <w:p>
            <w:pPr>
              <w:spacing w:after="20"/>
            </w:pPr>
            <w:r>
              <w:rPr>
                <w:sz w:val="20"/>
                <w:szCs w:val="20"/>
              </w:rPr>
              <w:t>S</w:t>
            </w:r>
          </w:p>
        </w:tc>
        <w:tc>
          <w:tcPr>
            <w:tcW w:type="dxa" w:w="1080"/>
            <w:vAlign w:val="center"/>
          </w:tcPr>
          <w:p>
            <w:pPr>
              <w:spacing w:after="20"/>
            </w:pPr>
            <w:r>
              <w:rPr>
                <w:sz w:val="20"/>
                <w:szCs w:val="20"/>
              </w:rPr>
              <w:t>—</w:t>
            </w:r>
          </w:p>
        </w:tc>
        <w:tc>
          <w:tcPr>
            <w:tcW w:type="dxa" w:w="1080"/>
            <w:vAlign w:val="center"/>
          </w:tcPr>
          <w:p>
            <w:pPr>
              <w:spacing w:after="20"/>
            </w:pPr>
            <w:r>
              <w:rPr>
                <w:sz w:val="20"/>
                <w:szCs w:val="20"/>
              </w:rPr>
              <w:t>S</w:t>
            </w:r>
          </w:p>
        </w:tc>
        <w:tc>
          <w:tcPr>
            <w:tcW w:type="dxa" w:w="1080"/>
            <w:vAlign w:val="center"/>
          </w:tcPr>
          <w:p>
            <w:pPr>
              <w:spacing w:after="20"/>
            </w:pPr>
            <w:r>
              <w:rPr>
                <w:sz w:val="20"/>
                <w:szCs w:val="20"/>
              </w:rPr>
              <w:t>S</w:t>
            </w:r>
          </w:p>
        </w:tc>
        <w:tc>
          <w:tcPr>
            <w:tcW w:type="dxa" w:w="1080"/>
            <w:vAlign w:val="center"/>
          </w:tcPr>
          <w:p>
            <w:pPr>
              <w:spacing w:after="20"/>
            </w:pPr>
            <w:r>
              <w:rPr>
                <w:sz w:val="20"/>
                <w:szCs w:val="20"/>
              </w:rPr>
              <w:t>S</w:t>
            </w:r>
          </w:p>
        </w:tc>
        <w:tc>
          <w:tcPr>
            <w:tcW w:type="dxa" w:w="1080"/>
            <w:vAlign w:val="center"/>
          </w:tcPr>
          <w:p>
            <w:pPr>
              <w:spacing w:after="20"/>
            </w:pPr>
            <w:r>
              <w:rPr>
                <w:sz w:val="20"/>
                <w:szCs w:val="20"/>
              </w:rPr>
              <w:t>Authoring schema is not publicly documented</w:t>
            </w:r>
          </w:p>
        </w:tc>
      </w:tr>
      <w:tr>
        <w:tc>
          <w:tcPr>
            <w:tcW w:type="dxa" w:w="1080"/>
            <w:vAlign w:val="center"/>
          </w:tcPr>
          <w:p>
            <w:pPr>
              <w:spacing w:after="20"/>
            </w:pPr>
            <w:hyperlink r:id="rId17">
              <w:r>
                <w:rPr>
                  <w:color w:val="0563C1"/>
                  <w:u w:val="single"/>
                  <w:sz w:val="20"/>
                  <w:szCs w:val="20"/>
                </w:rPr>
                <w:t>Check Point/Lakera</w:t>
              </w:r>
            </w:hyperlink>
          </w:p>
        </w:tc>
        <w:tc>
          <w:tcPr>
            <w:tcW w:type="dxa" w:w="1080"/>
            <w:vAlign w:val="center"/>
          </w:tcPr>
          <w:p>
            <w:pPr>
              <w:spacing w:after="20"/>
            </w:pPr>
            <w:r>
              <w:rPr>
                <w:sz w:val="20"/>
                <w:szCs w:val="20"/>
              </w:rPr>
              <w:t>Discovery and inline AI security</w:t>
            </w:r>
          </w:p>
        </w:tc>
        <w:tc>
          <w:tcPr>
            <w:tcW w:type="dxa" w:w="1080"/>
            <w:vAlign w:val="center"/>
          </w:tcPr>
          <w:p>
            <w:pPr>
              <w:spacing w:after="20"/>
            </w:pPr>
            <w:r>
              <w:rPr>
                <w:sz w:val="20"/>
                <w:szCs w:val="20"/>
              </w:rPr>
              <w:t>Partial</w:t>
            </w:r>
          </w:p>
        </w:tc>
        <w:tc>
          <w:tcPr>
            <w:tcW w:type="dxa" w:w="1080"/>
            <w:vAlign w:val="center"/>
          </w:tcPr>
          <w:p>
            <w:pPr>
              <w:spacing w:after="20"/>
            </w:pPr>
            <w:r>
              <w:rPr>
                <w:sz w:val="20"/>
                <w:szCs w:val="20"/>
              </w:rPr>
              <w:t>Structured UI/API detector rules</w:t>
            </w:r>
          </w:p>
        </w:tc>
        <w:tc>
          <w:tcPr>
            <w:tcW w:type="dxa" w:w="1080"/>
            <w:vAlign w:val="center"/>
          </w:tcPr>
          <w:p>
            <w:pPr>
              <w:spacing w:after="20"/>
            </w:pPr>
            <w:r>
              <w:rPr>
                <w:sz w:val="20"/>
                <w:szCs w:val="20"/>
              </w:rPr>
              <w:t>S</w:t>
            </w:r>
          </w:p>
        </w:tc>
        <w:tc>
          <w:tcPr>
            <w:tcW w:type="dxa" w:w="1080"/>
            <w:vAlign w:val="center"/>
          </w:tcPr>
          <w:p>
            <w:pPr>
              <w:spacing w:after="20"/>
            </w:pPr>
            <w:r>
              <w:rPr>
                <w:sz w:val="20"/>
                <w:szCs w:val="20"/>
              </w:rPr>
              <w:t>P</w:t>
            </w:r>
          </w:p>
        </w:tc>
        <w:tc>
          <w:tcPr>
            <w:tcW w:type="dxa" w:w="1080"/>
            <w:vAlign w:val="center"/>
          </w:tcPr>
          <w:p>
            <w:pPr>
              <w:spacing w:after="20"/>
            </w:pPr>
            <w:r>
              <w:rPr>
                <w:sz w:val="20"/>
                <w:szCs w:val="20"/>
              </w:rPr>
              <w:t>S</w:t>
            </w:r>
          </w:p>
        </w:tc>
        <w:tc>
          <w:tcPr>
            <w:tcW w:type="dxa" w:w="1080"/>
            <w:vAlign w:val="center"/>
          </w:tcPr>
          <w:p>
            <w:pPr>
              <w:spacing w:after="20"/>
            </w:pPr>
            <w:r>
              <w:rPr>
                <w:sz w:val="20"/>
                <w:szCs w:val="20"/>
              </w:rPr>
              <w:t>—</w:t>
            </w:r>
          </w:p>
        </w:tc>
        <w:tc>
          <w:tcPr>
            <w:tcW w:type="dxa" w:w="1080"/>
            <w:vAlign w:val="center"/>
          </w:tcPr>
          <w:p>
            <w:pPr>
              <w:spacing w:after="20"/>
            </w:pPr>
            <w:r>
              <w:rPr>
                <w:sz w:val="20"/>
                <w:szCs w:val="20"/>
              </w:rPr>
              <w:t>S</w:t>
            </w:r>
          </w:p>
        </w:tc>
        <w:tc>
          <w:tcPr>
            <w:tcW w:type="dxa" w:w="1080"/>
            <w:vAlign w:val="center"/>
          </w:tcPr>
          <w:p>
            <w:pPr>
              <w:spacing w:after="20"/>
            </w:pPr>
            <w:r>
              <w:rPr>
                <w:sz w:val="20"/>
                <w:szCs w:val="20"/>
              </w:rPr>
              <w:t>—</w:t>
            </w:r>
          </w:p>
        </w:tc>
        <w:tc>
          <w:tcPr>
            <w:tcW w:type="dxa" w:w="1080"/>
            <w:vAlign w:val="center"/>
          </w:tcPr>
          <w:p>
            <w:pPr>
              <w:spacing w:after="20"/>
            </w:pPr>
            <w:r>
              <w:rPr>
                <w:sz w:val="20"/>
                <w:szCs w:val="20"/>
              </w:rPr>
              <w:t>S</w:t>
            </w:r>
          </w:p>
        </w:tc>
        <w:tc>
          <w:tcPr>
            <w:tcW w:type="dxa" w:w="1080"/>
            <w:vAlign w:val="center"/>
          </w:tcPr>
          <w:p>
            <w:pPr>
              <w:spacing w:after="20"/>
            </w:pPr>
            <w:r>
              <w:rPr>
                <w:sz w:val="20"/>
                <w:szCs w:val="20"/>
              </w:rPr>
              <w:t>P</w:t>
            </w:r>
          </w:p>
        </w:tc>
        <w:tc>
          <w:tcPr>
            <w:tcW w:type="dxa" w:w="1080"/>
            <w:vAlign w:val="center"/>
          </w:tcPr>
          <w:p>
            <w:pPr>
              <w:spacing w:after="20"/>
            </w:pPr>
            <w:r>
              <w:rPr>
                <w:sz w:val="20"/>
                <w:szCs w:val="20"/>
              </w:rPr>
              <w:t>S</w:t>
            </w:r>
          </w:p>
        </w:tc>
        <w:tc>
          <w:tcPr>
            <w:tcW w:type="dxa" w:w="1080"/>
            <w:vAlign w:val="center"/>
          </w:tcPr>
          <w:p>
            <w:pPr>
              <w:spacing w:after="20"/>
            </w:pPr>
            <w:r>
              <w:rPr>
                <w:sz w:val="20"/>
                <w:szCs w:val="20"/>
              </w:rPr>
              <w:t>JSON is configuration, not policy code</w:t>
            </w:r>
          </w:p>
        </w:tc>
      </w:tr>
      <w:tr>
        <w:tc>
          <w:tcPr>
            <w:tcW w:type="dxa" w:w="1080"/>
            <w:vAlign w:val="center"/>
          </w:tcPr>
          <w:p>
            <w:pPr>
              <w:spacing w:after="20"/>
            </w:pPr>
            <w:hyperlink r:id="rId18">
              <w:r>
                <w:rPr>
                  <w:color w:val="0563C1"/>
                  <w:u w:val="single"/>
                  <w:sz w:val="20"/>
                  <w:szCs w:val="20"/>
                </w:rPr>
                <w:t>IBM watsonx.governance</w:t>
              </w:r>
            </w:hyperlink>
          </w:p>
        </w:tc>
        <w:tc>
          <w:tcPr>
            <w:tcW w:type="dxa" w:w="1080"/>
            <w:vAlign w:val="center"/>
          </w:tcPr>
          <w:p>
            <w:pPr>
              <w:spacing w:after="20"/>
            </w:pPr>
            <w:r>
              <w:rPr>
                <w:sz w:val="20"/>
                <w:szCs w:val="20"/>
              </w:rPr>
              <w:t>Risk/compliance lifecycle</w:t>
            </w:r>
          </w:p>
        </w:tc>
        <w:tc>
          <w:tcPr>
            <w:tcW w:type="dxa" w:w="1080"/>
            <w:vAlign w:val="center"/>
          </w:tcPr>
          <w:p>
            <w:pPr>
              <w:spacing w:after="20"/>
            </w:pPr>
            <w:r>
              <w:rPr>
                <w:sz w:val="20"/>
                <w:szCs w:val="20"/>
              </w:rPr>
              <w:t>Yes</w:t>
            </w:r>
          </w:p>
        </w:tc>
        <w:tc>
          <w:tcPr>
            <w:tcW w:type="dxa" w:w="1080"/>
            <w:vAlign w:val="center"/>
          </w:tcPr>
          <w:p>
            <w:pPr>
              <w:spacing w:after="20"/>
            </w:pPr>
            <w:r>
              <w:rPr>
                <w:sz w:val="20"/>
                <w:szCs w:val="20"/>
              </w:rPr>
              <w:t>Console workflows and metric thresholds</w:t>
            </w:r>
          </w:p>
        </w:tc>
        <w:tc>
          <w:tcPr>
            <w:tcW w:type="dxa" w:w="1080"/>
            <w:vAlign w:val="center"/>
          </w:tcPr>
          <w:p>
            <w:pPr>
              <w:spacing w:after="20"/>
            </w:pPr>
            <w:r>
              <w:rPr>
                <w:sz w:val="20"/>
                <w:szCs w:val="20"/>
              </w:rPr>
              <w:t>S</w:t>
            </w:r>
          </w:p>
        </w:tc>
        <w:tc>
          <w:tcPr>
            <w:tcW w:type="dxa" w:w="1080"/>
            <w:vAlign w:val="center"/>
          </w:tcPr>
          <w:p>
            <w:pPr>
              <w:spacing w:after="20"/>
            </w:pPr>
            <w:r>
              <w:rPr>
                <w:sz w:val="20"/>
                <w:szCs w:val="20"/>
              </w:rPr>
              <w:t>P</w:t>
            </w:r>
          </w:p>
        </w:tc>
        <w:tc>
          <w:tcPr>
            <w:tcW w:type="dxa" w:w="1080"/>
            <w:vAlign w:val="center"/>
          </w:tcPr>
          <w:p>
            <w:pPr>
              <w:spacing w:after="20"/>
            </w:pPr>
            <w:r>
              <w:rPr>
                <w:sz w:val="20"/>
                <w:szCs w:val="20"/>
              </w:rPr>
              <w:t>P</w:t>
            </w:r>
          </w:p>
        </w:tc>
        <w:tc>
          <w:tcPr>
            <w:tcW w:type="dxa" w:w="1080"/>
            <w:vAlign w:val="center"/>
          </w:tcPr>
          <w:p>
            <w:pPr>
              <w:spacing w:after="20"/>
            </w:pPr>
            <w:r>
              <w:rPr>
                <w:sz w:val="20"/>
                <w:szCs w:val="20"/>
              </w:rPr>
              <w:t>—</w:t>
            </w:r>
          </w:p>
        </w:tc>
        <w:tc>
          <w:tcPr>
            <w:tcW w:type="dxa" w:w="1080"/>
            <w:vAlign w:val="center"/>
          </w:tcPr>
          <w:p>
            <w:pPr>
              <w:spacing w:after="20"/>
            </w:pPr>
            <w:r>
              <w:rPr>
                <w:sz w:val="20"/>
                <w:szCs w:val="20"/>
              </w:rPr>
              <w:t>S</w:t>
            </w:r>
          </w:p>
        </w:tc>
        <w:tc>
          <w:tcPr>
            <w:tcW w:type="dxa" w:w="1080"/>
            <w:vAlign w:val="center"/>
          </w:tcPr>
          <w:p>
            <w:pPr>
              <w:spacing w:after="20"/>
            </w:pPr>
            <w:r>
              <w:rPr>
                <w:sz w:val="20"/>
                <w:szCs w:val="20"/>
              </w:rPr>
              <w:t>P</w:t>
            </w:r>
          </w:p>
        </w:tc>
        <w:tc>
          <w:tcPr>
            <w:tcW w:type="dxa" w:w="1080"/>
            <w:vAlign w:val="center"/>
          </w:tcPr>
          <w:p>
            <w:pPr>
              <w:spacing w:after="20"/>
            </w:pPr>
            <w:r>
              <w:rPr>
                <w:sz w:val="20"/>
                <w:szCs w:val="20"/>
              </w:rPr>
              <w:t>S</w:t>
            </w:r>
          </w:p>
        </w:tc>
        <w:tc>
          <w:tcPr>
            <w:tcW w:type="dxa" w:w="1080"/>
            <w:vAlign w:val="center"/>
          </w:tcPr>
          <w:p>
            <w:pPr>
              <w:spacing w:after="20"/>
            </w:pPr>
            <w:r>
              <w:rPr>
                <w:sz w:val="20"/>
                <w:szCs w:val="20"/>
              </w:rPr>
              <w:t>S</w:t>
            </w:r>
          </w:p>
        </w:tc>
        <w:tc>
          <w:tcPr>
            <w:tcW w:type="dxa" w:w="1080"/>
            <w:vAlign w:val="center"/>
          </w:tcPr>
          <w:p>
            <w:pPr>
              <w:spacing w:after="20"/>
            </w:pPr>
            <w:r>
              <w:rPr>
                <w:sz w:val="20"/>
                <w:szCs w:val="20"/>
              </w:rPr>
              <w:t>P</w:t>
            </w:r>
          </w:p>
        </w:tc>
        <w:tc>
          <w:tcPr>
            <w:tcW w:type="dxa" w:w="1080"/>
            <w:vAlign w:val="center"/>
          </w:tcPr>
          <w:p>
            <w:pPr>
              <w:spacing w:after="20"/>
            </w:pPr>
            <w:r>
              <w:rPr>
                <w:sz w:val="20"/>
                <w:szCs w:val="20"/>
              </w:rPr>
              <w:t>Lifecycle governance, not inline authorization DSL</w:t>
            </w:r>
          </w:p>
        </w:tc>
      </w:tr>
      <w:tr>
        <w:tc>
          <w:tcPr>
            <w:tcW w:type="dxa" w:w="1080"/>
            <w:vAlign w:val="center"/>
          </w:tcPr>
          <w:p>
            <w:pPr>
              <w:spacing w:after="20"/>
            </w:pPr>
            <w:hyperlink r:id="rId19">
              <w:r>
                <w:rPr>
                  <w:color w:val="0563C1"/>
                  <w:u w:val="single"/>
                  <w:sz w:val="20"/>
                  <w:szCs w:val="20"/>
                </w:rPr>
                <w:t>Salesforce Trust Layer</w:t>
              </w:r>
            </w:hyperlink>
          </w:p>
        </w:tc>
        <w:tc>
          <w:tcPr>
            <w:tcW w:type="dxa" w:w="1080"/>
            <w:vAlign w:val="center"/>
          </w:tcPr>
          <w:p>
            <w:pPr>
              <w:spacing w:after="20"/>
            </w:pPr>
            <w:r>
              <w:rPr>
                <w:sz w:val="20"/>
                <w:szCs w:val="20"/>
              </w:rPr>
              <w:t>Platform privacy and trust</w:t>
            </w:r>
          </w:p>
        </w:tc>
        <w:tc>
          <w:tcPr>
            <w:tcW w:type="dxa" w:w="1080"/>
            <w:vAlign w:val="center"/>
          </w:tcPr>
          <w:p>
            <w:pPr>
              <w:spacing w:after="20"/>
            </w:pPr>
            <w:r>
              <w:rPr>
                <w:sz w:val="20"/>
                <w:szCs w:val="20"/>
              </w:rPr>
              <w:t>No</w:t>
            </w:r>
          </w:p>
        </w:tc>
        <w:tc>
          <w:tcPr>
            <w:tcW w:type="dxa" w:w="1080"/>
            <w:vAlign w:val="center"/>
          </w:tcPr>
          <w:p>
            <w:pPr>
              <w:spacing w:after="20"/>
            </w:pPr>
            <w:r>
              <w:rPr>
                <w:sz w:val="20"/>
                <w:szCs w:val="20"/>
              </w:rPr>
              <w:t>Policy Builder/templates; managed rules</w:t>
            </w:r>
          </w:p>
        </w:tc>
        <w:tc>
          <w:tcPr>
            <w:tcW w:type="dxa" w:w="1080"/>
            <w:vAlign w:val="center"/>
          </w:tcPr>
          <w:p>
            <w:pPr>
              <w:spacing w:after="20"/>
            </w:pPr>
            <w:r>
              <w:rPr>
                <w:sz w:val="20"/>
                <w:szCs w:val="20"/>
              </w:rPr>
              <w:t>P</w:t>
            </w:r>
          </w:p>
        </w:tc>
        <w:tc>
          <w:tcPr>
            <w:tcW w:type="dxa" w:w="1080"/>
            <w:vAlign w:val="center"/>
          </w:tcPr>
          <w:p>
            <w:pPr>
              <w:spacing w:after="20"/>
            </w:pPr>
            <w:r>
              <w:rPr>
                <w:sz w:val="20"/>
                <w:szCs w:val="20"/>
              </w:rPr>
              <w:t>P</w:t>
            </w:r>
          </w:p>
        </w:tc>
        <w:tc>
          <w:tcPr>
            <w:tcW w:type="dxa" w:w="1080"/>
            <w:vAlign w:val="center"/>
          </w:tcPr>
          <w:p>
            <w:pPr>
              <w:spacing w:after="20"/>
            </w:pPr>
            <w:r>
              <w:rPr>
                <w:sz w:val="20"/>
                <w:szCs w:val="20"/>
              </w:rPr>
              <w:t>P</w:t>
            </w:r>
          </w:p>
        </w:tc>
        <w:tc>
          <w:tcPr>
            <w:tcW w:type="dxa" w:w="1080"/>
            <w:vAlign w:val="center"/>
          </w:tcPr>
          <w:p>
            <w:pPr>
              <w:spacing w:after="20"/>
            </w:pPr>
            <w:r>
              <w:rPr>
                <w:sz w:val="20"/>
                <w:szCs w:val="20"/>
              </w:rPr>
              <w:t>—</w:t>
            </w:r>
          </w:p>
        </w:tc>
        <w:tc>
          <w:tcPr>
            <w:tcW w:type="dxa" w:w="1080"/>
            <w:vAlign w:val="center"/>
          </w:tcPr>
          <w:p>
            <w:pPr>
              <w:spacing w:after="20"/>
            </w:pPr>
            <w:r>
              <w:rPr>
                <w:sz w:val="20"/>
                <w:szCs w:val="20"/>
              </w:rPr>
              <w:t>S</w:t>
            </w:r>
          </w:p>
        </w:tc>
        <w:tc>
          <w:tcPr>
            <w:tcW w:type="dxa" w:w="1080"/>
            <w:vAlign w:val="center"/>
          </w:tcPr>
          <w:p>
            <w:pPr>
              <w:spacing w:after="20"/>
            </w:pPr>
            <w:r>
              <w:rPr>
                <w:sz w:val="20"/>
                <w:szCs w:val="20"/>
              </w:rPr>
              <w:t>P</w:t>
            </w:r>
          </w:p>
        </w:tc>
        <w:tc>
          <w:tcPr>
            <w:tcW w:type="dxa" w:w="1080"/>
            <w:vAlign w:val="center"/>
          </w:tcPr>
          <w:p>
            <w:pPr>
              <w:spacing w:after="20"/>
            </w:pPr>
            <w:r>
              <w:rPr>
                <w:sz w:val="20"/>
                <w:szCs w:val="20"/>
              </w:rPr>
              <w:t>S</w:t>
            </w:r>
          </w:p>
        </w:tc>
        <w:tc>
          <w:tcPr>
            <w:tcW w:type="dxa" w:w="1080"/>
            <w:vAlign w:val="center"/>
          </w:tcPr>
          <w:p>
            <w:pPr>
              <w:spacing w:after="20"/>
            </w:pPr>
            <w:r>
              <w:rPr>
                <w:sz w:val="20"/>
                <w:szCs w:val="20"/>
              </w:rPr>
              <w:t>S</w:t>
            </w:r>
          </w:p>
        </w:tc>
        <w:tc>
          <w:tcPr>
            <w:tcW w:type="dxa" w:w="1080"/>
            <w:vAlign w:val="center"/>
          </w:tcPr>
          <w:p>
            <w:pPr>
              <w:spacing w:after="20"/>
            </w:pPr>
            <w:r>
              <w:rPr>
                <w:sz w:val="20"/>
                <w:szCs w:val="20"/>
              </w:rPr>
              <w:t>P</w:t>
            </w:r>
          </w:p>
        </w:tc>
        <w:tc>
          <w:tcPr>
            <w:tcW w:type="dxa" w:w="1080"/>
            <w:vAlign w:val="center"/>
          </w:tcPr>
          <w:p>
            <w:pPr>
              <w:spacing w:after="20"/>
            </w:pPr>
            <w:r>
              <w:rPr>
                <w:sz w:val="20"/>
                <w:szCs w:val="20"/>
              </w:rPr>
              <w:t>No public native policy DSL</w:t>
            </w:r>
          </w:p>
        </w:tc>
      </w:tr>
      <w:tr>
        <w:tc>
          <w:tcPr>
            <w:tcW w:type="dxa" w:w="1080"/>
            <w:vAlign w:val="center"/>
          </w:tcPr>
          <w:p>
            <w:pPr>
              <w:spacing w:after="20"/>
            </w:pPr>
            <w:hyperlink r:id="rId20">
              <w:r>
                <w:rPr>
                  <w:color w:val="0563C1"/>
                  <w:u w:val="single"/>
                  <w:sz w:val="20"/>
                  <w:szCs w:val="20"/>
                </w:rPr>
                <w:t>Descope Agentic Identity Hub</w:t>
              </w:r>
            </w:hyperlink>
          </w:p>
        </w:tc>
        <w:tc>
          <w:tcPr>
            <w:tcW w:type="dxa" w:w="1080"/>
            <w:vAlign w:val="center"/>
          </w:tcPr>
          <w:p>
            <w:pPr>
              <w:spacing w:after="20"/>
            </w:pPr>
            <w:r>
              <w:rPr>
                <w:sz w:val="20"/>
                <w:szCs w:val="20"/>
              </w:rPr>
              <w:t>Identity and credential brokering</w:t>
            </w:r>
          </w:p>
        </w:tc>
        <w:tc>
          <w:tcPr>
            <w:tcW w:type="dxa" w:w="1080"/>
            <w:vAlign w:val="center"/>
          </w:tcPr>
          <w:p>
            <w:pPr>
              <w:spacing w:after="20"/>
            </w:pPr>
            <w:r>
              <w:rPr>
                <w:sz w:val="20"/>
                <w:szCs w:val="20"/>
              </w:rPr>
              <w:t>Partial</w:t>
            </w:r>
          </w:p>
        </w:tc>
        <w:tc>
          <w:tcPr>
            <w:tcW w:type="dxa" w:w="1080"/>
            <w:vAlign w:val="center"/>
          </w:tcPr>
          <w:p>
            <w:pPr>
              <w:spacing w:after="20"/>
            </w:pPr>
            <w:r>
              <w:rPr>
                <w:sz w:val="20"/>
                <w:szCs w:val="20"/>
              </w:rPr>
              <w:t>Console allow rules and conditions</w:t>
            </w:r>
          </w:p>
        </w:tc>
        <w:tc>
          <w:tcPr>
            <w:tcW w:type="dxa" w:w="1080"/>
            <w:vAlign w:val="center"/>
          </w:tcPr>
          <w:p>
            <w:pPr>
              <w:spacing w:after="20"/>
            </w:pPr>
            <w:r>
              <w:rPr>
                <w:sz w:val="20"/>
                <w:szCs w:val="20"/>
              </w:rPr>
              <w:t>S</w:t>
            </w:r>
          </w:p>
        </w:tc>
        <w:tc>
          <w:tcPr>
            <w:tcW w:type="dxa" w:w="1080"/>
            <w:vAlign w:val="center"/>
          </w:tcPr>
          <w:p>
            <w:pPr>
              <w:spacing w:after="20"/>
            </w:pPr>
            <w:r>
              <w:rPr>
                <w:sz w:val="20"/>
                <w:szCs w:val="20"/>
              </w:rPr>
              <w:t>S</w:t>
            </w:r>
          </w:p>
        </w:tc>
        <w:tc>
          <w:tcPr>
            <w:tcW w:type="dxa" w:w="1080"/>
            <w:vAlign w:val="center"/>
          </w:tcPr>
          <w:p>
            <w:pPr>
              <w:spacing w:after="20"/>
            </w:pPr>
            <w:r>
              <w:rPr>
                <w:sz w:val="20"/>
                <w:szCs w:val="20"/>
              </w:rPr>
              <w:t>S</w:t>
            </w:r>
          </w:p>
        </w:tc>
        <w:tc>
          <w:tcPr>
            <w:tcW w:type="dxa" w:w="1080"/>
            <w:vAlign w:val="center"/>
          </w:tcPr>
          <w:p>
            <w:pPr>
              <w:spacing w:after="20"/>
            </w:pPr>
            <w:r>
              <w:rPr>
                <w:sz w:val="20"/>
                <w:szCs w:val="20"/>
              </w:rPr>
              <w:t>—</w:t>
            </w:r>
          </w:p>
        </w:tc>
        <w:tc>
          <w:tcPr>
            <w:tcW w:type="dxa" w:w="1080"/>
            <w:vAlign w:val="center"/>
          </w:tcPr>
          <w:p>
            <w:pPr>
              <w:spacing w:after="20"/>
            </w:pPr>
            <w:r>
              <w:rPr>
                <w:sz w:val="20"/>
                <w:szCs w:val="20"/>
              </w:rPr>
              <w:t>S</w:t>
            </w:r>
          </w:p>
        </w:tc>
        <w:tc>
          <w:tcPr>
            <w:tcW w:type="dxa" w:w="1080"/>
            <w:vAlign w:val="center"/>
          </w:tcPr>
          <w:p>
            <w:pPr>
              <w:spacing w:after="20"/>
            </w:pPr>
            <w:r>
              <w:rPr>
                <w:sz w:val="20"/>
                <w:szCs w:val="20"/>
              </w:rPr>
              <w:t>P</w:t>
            </w:r>
          </w:p>
        </w:tc>
        <w:tc>
          <w:tcPr>
            <w:tcW w:type="dxa" w:w="1080"/>
            <w:vAlign w:val="center"/>
          </w:tcPr>
          <w:p>
            <w:pPr>
              <w:spacing w:after="20"/>
            </w:pPr>
            <w:r>
              <w:rPr>
                <w:sz w:val="20"/>
                <w:szCs w:val="20"/>
              </w:rPr>
              <w:t>—</w:t>
            </w:r>
          </w:p>
        </w:tc>
        <w:tc>
          <w:tcPr>
            <w:tcW w:type="dxa" w:w="1080"/>
            <w:vAlign w:val="center"/>
          </w:tcPr>
          <w:p>
            <w:pPr>
              <w:spacing w:after="20"/>
            </w:pPr>
            <w:r>
              <w:rPr>
                <w:sz w:val="20"/>
                <w:szCs w:val="20"/>
              </w:rPr>
              <w:t>P</w:t>
            </w:r>
          </w:p>
        </w:tc>
        <w:tc>
          <w:tcPr>
            <w:tcW w:type="dxa" w:w="1080"/>
            <w:vAlign w:val="center"/>
          </w:tcPr>
          <w:p>
            <w:pPr>
              <w:spacing w:after="20"/>
            </w:pPr>
            <w:r>
              <w:rPr>
                <w:sz w:val="20"/>
                <w:szCs w:val="20"/>
              </w:rPr>
              <w:t>P</w:t>
            </w:r>
          </w:p>
        </w:tc>
        <w:tc>
          <w:tcPr>
            <w:tcW w:type="dxa" w:w="1080"/>
            <w:vAlign w:val="center"/>
          </w:tcPr>
          <w:p>
            <w:pPr>
              <w:spacing w:after="20"/>
            </w:pPr>
            <w:r>
              <w:rPr>
                <w:sz w:val="20"/>
                <w:szCs w:val="20"/>
              </w:rPr>
              <w:t>No public DSL/API for policy management</w:t>
            </w:r>
          </w:p>
        </w:tc>
      </w:tr>
      <w:tr>
        <w:tc>
          <w:tcPr>
            <w:tcW w:type="dxa" w:w="1080"/>
            <w:vAlign w:val="center"/>
          </w:tcPr>
          <w:p>
            <w:pPr>
              <w:spacing w:after="20"/>
            </w:pPr>
            <w:hyperlink r:id="rId21">
              <w:r>
                <w:rPr>
                  <w:color w:val="0563C1"/>
                  <w:u w:val="single"/>
                  <w:sz w:val="20"/>
                  <w:szCs w:val="20"/>
                </w:rPr>
                <w:t>Docker MCP Enterprise Gateway</w:t>
              </w:r>
            </w:hyperlink>
          </w:p>
        </w:tc>
        <w:tc>
          <w:tcPr>
            <w:tcW w:type="dxa" w:w="1080"/>
            <w:vAlign w:val="center"/>
          </w:tcPr>
          <w:p>
            <w:pPr>
              <w:spacing w:after="20"/>
            </w:pPr>
            <w:r>
              <w:rPr>
                <w:sz w:val="20"/>
                <w:szCs w:val="20"/>
              </w:rPr>
              <w:t>MCP policy and isolation</w:t>
            </w:r>
          </w:p>
        </w:tc>
        <w:tc>
          <w:tcPr>
            <w:tcW w:type="dxa" w:w="1080"/>
            <w:vAlign w:val="center"/>
          </w:tcPr>
          <w:p>
            <w:pPr>
              <w:spacing w:after="20"/>
            </w:pPr>
            <w:r>
              <w:rPr>
                <w:sz w:val="20"/>
                <w:szCs w:val="20"/>
              </w:rPr>
              <w:t>Yes</w:t>
            </w:r>
          </w:p>
        </w:tc>
        <w:tc>
          <w:tcPr>
            <w:tcW w:type="dxa" w:w="1080"/>
            <w:vAlign w:val="center"/>
          </w:tcPr>
          <w:p>
            <w:pPr>
              <w:spacing w:after="20"/>
            </w:pPr>
            <w:r>
              <w:rPr>
                <w:sz w:val="20"/>
                <w:szCs w:val="20"/>
              </w:rPr>
              <w:t>Cedar (</w:t>
            </w:r>
            <w:r>
              <w:rPr>
                <w:rFonts w:ascii="Consolas" w:hAnsi="Consolas"/>
                <w:sz w:val="20"/>
                <w:szCs w:val="20"/>
              </w:rPr>
              <w:t>MCP</w:t>
            </w:r>
            <w:r>
              <w:rPr>
                <w:sz w:val="20"/>
                <w:szCs w:val="20"/>
              </w:rPr>
              <w:t xml:space="preserve"> namespace)</w:t>
            </w:r>
          </w:p>
        </w:tc>
        <w:tc>
          <w:tcPr>
            <w:tcW w:type="dxa" w:w="1080"/>
            <w:vAlign w:val="center"/>
          </w:tcPr>
          <w:p>
            <w:pPr>
              <w:spacing w:after="20"/>
            </w:pPr>
            <w:r>
              <w:rPr>
                <w:sz w:val="20"/>
                <w:szCs w:val="20"/>
              </w:rPr>
              <w:t>S</w:t>
            </w:r>
          </w:p>
        </w:tc>
        <w:tc>
          <w:tcPr>
            <w:tcW w:type="dxa" w:w="1080"/>
            <w:vAlign w:val="center"/>
          </w:tcPr>
          <w:p>
            <w:pPr>
              <w:spacing w:after="20"/>
            </w:pPr>
            <w:r>
              <w:rPr>
                <w:sz w:val="20"/>
                <w:szCs w:val="20"/>
              </w:rPr>
              <w:t>S</w:t>
            </w:r>
          </w:p>
        </w:tc>
        <w:tc>
          <w:tcPr>
            <w:tcW w:type="dxa" w:w="1080"/>
            <w:vAlign w:val="center"/>
          </w:tcPr>
          <w:p>
            <w:pPr>
              <w:spacing w:after="20"/>
            </w:pPr>
            <w:r>
              <w:rPr>
                <w:sz w:val="20"/>
                <w:szCs w:val="20"/>
              </w:rPr>
              <w:t>S</w:t>
            </w:r>
          </w:p>
        </w:tc>
        <w:tc>
          <w:tcPr>
            <w:tcW w:type="dxa" w:w="1080"/>
            <w:vAlign w:val="center"/>
          </w:tcPr>
          <w:p>
            <w:pPr>
              <w:spacing w:after="20"/>
            </w:pPr>
            <w:r>
              <w:rPr>
                <w:sz w:val="20"/>
                <w:szCs w:val="20"/>
              </w:rPr>
              <w:t>S</w:t>
            </w:r>
          </w:p>
        </w:tc>
        <w:tc>
          <w:tcPr>
            <w:tcW w:type="dxa" w:w="1080"/>
            <w:vAlign w:val="center"/>
          </w:tcPr>
          <w:p>
            <w:pPr>
              <w:spacing w:after="20"/>
            </w:pPr>
            <w:r>
              <w:rPr>
                <w:sz w:val="20"/>
                <w:szCs w:val="20"/>
              </w:rPr>
              <w:t>S</w:t>
            </w:r>
          </w:p>
        </w:tc>
        <w:tc>
          <w:tcPr>
            <w:tcW w:type="dxa" w:w="1080"/>
            <w:vAlign w:val="center"/>
          </w:tcPr>
          <w:p>
            <w:pPr>
              <w:spacing w:after="20"/>
            </w:pPr>
            <w:r>
              <w:rPr>
                <w:sz w:val="20"/>
                <w:szCs w:val="20"/>
              </w:rPr>
              <w:t>—</w:t>
            </w:r>
          </w:p>
        </w:tc>
        <w:tc>
          <w:tcPr>
            <w:tcW w:type="dxa" w:w="1080"/>
            <w:vAlign w:val="center"/>
          </w:tcPr>
          <w:p>
            <w:pPr>
              <w:spacing w:after="20"/>
            </w:pPr>
            <w:r>
              <w:rPr>
                <w:sz w:val="20"/>
                <w:szCs w:val="20"/>
              </w:rPr>
              <w:t>P</w:t>
            </w:r>
          </w:p>
        </w:tc>
        <w:tc>
          <w:tcPr>
            <w:tcW w:type="dxa" w:w="1080"/>
            <w:vAlign w:val="center"/>
          </w:tcPr>
          <w:p>
            <w:pPr>
              <w:spacing w:after="20"/>
            </w:pPr>
            <w:r>
              <w:rPr>
                <w:sz w:val="20"/>
                <w:szCs w:val="20"/>
              </w:rPr>
              <w:t>S</w:t>
            </w:r>
          </w:p>
        </w:tc>
        <w:tc>
          <w:tcPr>
            <w:tcW w:type="dxa" w:w="1080"/>
            <w:vAlign w:val="center"/>
          </w:tcPr>
          <w:p>
            <w:pPr>
              <w:spacing w:after="20"/>
            </w:pPr>
            <w:r>
              <w:rPr>
                <w:sz w:val="20"/>
                <w:szCs w:val="20"/>
              </w:rPr>
              <w:t>S</w:t>
            </w:r>
          </w:p>
        </w:tc>
        <w:tc>
          <w:tcPr>
            <w:tcW w:type="dxa" w:w="1080"/>
            <w:vAlign w:val="center"/>
          </w:tcPr>
          <w:p>
            <w:pPr>
              <w:spacing w:after="20"/>
            </w:pPr>
            <w:r>
              <w:rPr>
                <w:sz w:val="20"/>
                <w:szCs w:val="20"/>
              </w:rPr>
              <w:t>Cedar scope is gateway-routed MCP activity</w:t>
            </w:r>
          </w:p>
        </w:tc>
      </w:tr>
      <w:tr>
        <w:tc>
          <w:tcPr>
            <w:tcW w:type="dxa" w:w="1080"/>
            <w:vAlign w:val="center"/>
          </w:tcPr>
          <w:p>
            <w:pPr>
              <w:spacing w:after="20"/>
            </w:pPr>
            <w:hyperlink r:id="rId22">
              <w:r>
                <w:rPr>
                  <w:color w:val="0563C1"/>
                  <w:u w:val="single"/>
                  <w:sz w:val="20"/>
                  <w:szCs w:val="20"/>
                </w:rPr>
                <w:t>Stacklok ToolHive</w:t>
              </w:r>
            </w:hyperlink>
          </w:p>
        </w:tc>
        <w:tc>
          <w:tcPr>
            <w:tcW w:type="dxa" w:w="1080"/>
            <w:vAlign w:val="center"/>
          </w:tcPr>
          <w:p>
            <w:pPr>
              <w:spacing w:after="20"/>
            </w:pPr>
            <w:r>
              <w:rPr>
                <w:sz w:val="20"/>
                <w:szCs w:val="20"/>
              </w:rPr>
              <w:t>OSS MCP gateway/runtime</w:t>
            </w:r>
          </w:p>
        </w:tc>
        <w:tc>
          <w:tcPr>
            <w:tcW w:type="dxa" w:w="1080"/>
            <w:vAlign w:val="center"/>
          </w:tcPr>
          <w:p>
            <w:pPr>
              <w:spacing w:after="20"/>
            </w:pPr>
            <w:r>
              <w:rPr>
                <w:sz w:val="20"/>
                <w:szCs w:val="20"/>
              </w:rPr>
              <w:t>Yes</w:t>
            </w:r>
          </w:p>
        </w:tc>
        <w:tc>
          <w:tcPr>
            <w:tcW w:type="dxa" w:w="1080"/>
            <w:vAlign w:val="center"/>
          </w:tcPr>
          <w:p>
            <w:pPr>
              <w:spacing w:after="20"/>
            </w:pPr>
            <w:r>
              <w:rPr>
                <w:sz w:val="20"/>
                <w:szCs w:val="20"/>
              </w:rPr>
              <w:t>Cedar in JSON/YAML/CRDs</w:t>
            </w:r>
          </w:p>
        </w:tc>
        <w:tc>
          <w:tcPr>
            <w:tcW w:type="dxa" w:w="1080"/>
            <w:vAlign w:val="center"/>
          </w:tcPr>
          <w:p>
            <w:pPr>
              <w:spacing w:after="20"/>
            </w:pPr>
            <w:r>
              <w:rPr>
                <w:sz w:val="20"/>
                <w:szCs w:val="20"/>
              </w:rPr>
              <w:t>S</w:t>
            </w:r>
          </w:p>
        </w:tc>
        <w:tc>
          <w:tcPr>
            <w:tcW w:type="dxa" w:w="1080"/>
            <w:vAlign w:val="center"/>
          </w:tcPr>
          <w:p>
            <w:pPr>
              <w:spacing w:after="20"/>
            </w:pPr>
            <w:r>
              <w:rPr>
                <w:sz w:val="20"/>
                <w:szCs w:val="20"/>
              </w:rPr>
              <w:t>S</w:t>
            </w:r>
          </w:p>
        </w:tc>
        <w:tc>
          <w:tcPr>
            <w:tcW w:type="dxa" w:w="1080"/>
            <w:vAlign w:val="center"/>
          </w:tcPr>
          <w:p>
            <w:pPr>
              <w:spacing w:after="20"/>
            </w:pPr>
            <w:r>
              <w:rPr>
                <w:sz w:val="20"/>
                <w:szCs w:val="20"/>
              </w:rPr>
              <w:t>S</w:t>
            </w:r>
          </w:p>
        </w:tc>
        <w:tc>
          <w:tcPr>
            <w:tcW w:type="dxa" w:w="1080"/>
            <w:vAlign w:val="center"/>
          </w:tcPr>
          <w:p>
            <w:pPr>
              <w:spacing w:after="20"/>
            </w:pPr>
            <w:r>
              <w:rPr>
                <w:sz w:val="20"/>
                <w:szCs w:val="20"/>
              </w:rPr>
              <w:t>S</w:t>
            </w:r>
          </w:p>
        </w:tc>
        <w:tc>
          <w:tcPr>
            <w:tcW w:type="dxa" w:w="1080"/>
            <w:vAlign w:val="center"/>
          </w:tcPr>
          <w:p>
            <w:pPr>
              <w:spacing w:after="20"/>
            </w:pPr>
            <w:r>
              <w:rPr>
                <w:sz w:val="20"/>
                <w:szCs w:val="20"/>
              </w:rPr>
              <w:t>S</w:t>
            </w:r>
          </w:p>
        </w:tc>
        <w:tc>
          <w:tcPr>
            <w:tcW w:type="dxa" w:w="1080"/>
            <w:vAlign w:val="center"/>
          </w:tcPr>
          <w:p>
            <w:pPr>
              <w:spacing w:after="20"/>
            </w:pPr>
            <w:r>
              <w:rPr>
                <w:sz w:val="20"/>
                <w:szCs w:val="20"/>
              </w:rPr>
              <w:t>—</w:t>
            </w:r>
          </w:p>
        </w:tc>
        <w:tc>
          <w:tcPr>
            <w:tcW w:type="dxa" w:w="1080"/>
            <w:vAlign w:val="center"/>
          </w:tcPr>
          <w:p>
            <w:pPr>
              <w:spacing w:after="20"/>
            </w:pPr>
            <w:r>
              <w:rPr>
                <w:sz w:val="20"/>
                <w:szCs w:val="20"/>
              </w:rPr>
              <w:t>P</w:t>
            </w:r>
          </w:p>
        </w:tc>
        <w:tc>
          <w:tcPr>
            <w:tcW w:type="dxa" w:w="1080"/>
            <w:vAlign w:val="center"/>
          </w:tcPr>
          <w:p>
            <w:pPr>
              <w:spacing w:after="20"/>
            </w:pPr>
            <w:r>
              <w:rPr>
                <w:sz w:val="20"/>
                <w:szCs w:val="20"/>
              </w:rPr>
              <w:t>P</w:t>
            </w:r>
          </w:p>
        </w:tc>
        <w:tc>
          <w:tcPr>
            <w:tcW w:type="dxa" w:w="1080"/>
            <w:vAlign w:val="center"/>
          </w:tcPr>
          <w:p>
            <w:pPr>
              <w:spacing w:after="20"/>
            </w:pPr>
            <w:r>
              <w:rPr>
                <w:sz w:val="20"/>
                <w:szCs w:val="20"/>
              </w:rPr>
              <w:t>P</w:t>
            </w:r>
          </w:p>
        </w:tc>
        <w:tc>
          <w:tcPr>
            <w:tcW w:type="dxa" w:w="1080"/>
            <w:vAlign w:val="center"/>
          </w:tcPr>
          <w:p>
            <w:pPr>
              <w:spacing w:after="20"/>
            </w:pPr>
            <w:r>
              <w:rPr>
                <w:sz w:val="20"/>
                <w:szCs w:val="20"/>
              </w:rPr>
              <w:t>Enterprise RBAC resources compile to Cedar</w:t>
            </w:r>
          </w:p>
        </w:tc>
      </w:tr>
      <w:tr>
        <w:tc>
          <w:tcPr>
            <w:tcW w:type="dxa" w:w="1080"/>
            <w:vAlign w:val="center"/>
          </w:tcPr>
          <w:p>
            <w:pPr>
              <w:spacing w:after="20"/>
            </w:pPr>
            <w:hyperlink r:id="rId23">
              <w:r>
                <w:rPr>
                  <w:color w:val="0563C1"/>
                  <w:u w:val="single"/>
                  <w:sz w:val="20"/>
                  <w:szCs w:val="20"/>
                </w:rPr>
                <w:t>Lasso MCP Security</w:t>
              </w:r>
            </w:hyperlink>
          </w:p>
        </w:tc>
        <w:tc>
          <w:tcPr>
            <w:tcW w:type="dxa" w:w="1080"/>
            <w:vAlign w:val="center"/>
          </w:tcPr>
          <w:p>
            <w:pPr>
              <w:spacing w:after="20"/>
            </w:pPr>
            <w:r>
              <w:rPr>
                <w:sz w:val="20"/>
                <w:szCs w:val="20"/>
              </w:rPr>
              <w:t>MCP security and DLP</w:t>
            </w:r>
          </w:p>
        </w:tc>
        <w:tc>
          <w:tcPr>
            <w:tcW w:type="dxa" w:w="1080"/>
            <w:vAlign w:val="center"/>
          </w:tcPr>
          <w:p>
            <w:pPr>
              <w:spacing w:after="20"/>
            </w:pPr>
            <w:r>
              <w:rPr>
                <w:sz w:val="20"/>
                <w:szCs w:val="20"/>
              </w:rPr>
              <w:t>Partial</w:t>
            </w:r>
          </w:p>
        </w:tc>
        <w:tc>
          <w:tcPr>
            <w:tcW w:type="dxa" w:w="1080"/>
            <w:vAlign w:val="center"/>
          </w:tcPr>
          <w:p>
            <w:pPr>
              <w:spacing w:after="20"/>
            </w:pPr>
            <w:r>
              <w:rPr>
                <w:sz w:val="20"/>
                <w:szCs w:val="20"/>
              </w:rPr>
              <w:t>No-code proprietary rules</w:t>
            </w:r>
          </w:p>
        </w:tc>
        <w:tc>
          <w:tcPr>
            <w:tcW w:type="dxa" w:w="1080"/>
            <w:vAlign w:val="center"/>
          </w:tcPr>
          <w:p>
            <w:pPr>
              <w:spacing w:after="20"/>
            </w:pPr>
            <w:r>
              <w:rPr>
                <w:sz w:val="20"/>
                <w:szCs w:val="20"/>
              </w:rPr>
              <w:t>S</w:t>
            </w:r>
          </w:p>
        </w:tc>
        <w:tc>
          <w:tcPr>
            <w:tcW w:type="dxa" w:w="1080"/>
            <w:vAlign w:val="center"/>
          </w:tcPr>
          <w:p>
            <w:pPr>
              <w:spacing w:after="20"/>
            </w:pPr>
            <w:r>
              <w:rPr>
                <w:sz w:val="20"/>
                <w:szCs w:val="20"/>
              </w:rPr>
              <w:t>P</w:t>
            </w:r>
          </w:p>
        </w:tc>
        <w:tc>
          <w:tcPr>
            <w:tcW w:type="dxa" w:w="1080"/>
            <w:vAlign w:val="center"/>
          </w:tcPr>
          <w:p>
            <w:pPr>
              <w:spacing w:after="20"/>
            </w:pPr>
            <w:r>
              <w:rPr>
                <w:sz w:val="20"/>
                <w:szCs w:val="20"/>
              </w:rPr>
              <w:t>S</w:t>
            </w:r>
          </w:p>
        </w:tc>
        <w:tc>
          <w:tcPr>
            <w:tcW w:type="dxa" w:w="1080"/>
            <w:vAlign w:val="center"/>
          </w:tcPr>
          <w:p>
            <w:pPr>
              <w:spacing w:after="20"/>
            </w:pPr>
            <w:r>
              <w:rPr>
                <w:sz w:val="20"/>
                <w:szCs w:val="20"/>
              </w:rPr>
              <w:t>—</w:t>
            </w:r>
          </w:p>
        </w:tc>
        <w:tc>
          <w:tcPr>
            <w:tcW w:type="dxa" w:w="1080"/>
            <w:vAlign w:val="center"/>
          </w:tcPr>
          <w:p>
            <w:pPr>
              <w:spacing w:after="20"/>
            </w:pPr>
            <w:r>
              <w:rPr>
                <w:sz w:val="20"/>
                <w:szCs w:val="20"/>
              </w:rPr>
              <w:t>S</w:t>
            </w:r>
          </w:p>
        </w:tc>
        <w:tc>
          <w:tcPr>
            <w:tcW w:type="dxa" w:w="1080"/>
            <w:vAlign w:val="center"/>
          </w:tcPr>
          <w:p>
            <w:pPr>
              <w:spacing w:after="20"/>
            </w:pPr>
            <w:r>
              <w:rPr>
                <w:sz w:val="20"/>
                <w:szCs w:val="20"/>
              </w:rPr>
              <w:t>—</w:t>
            </w:r>
          </w:p>
        </w:tc>
        <w:tc>
          <w:tcPr>
            <w:tcW w:type="dxa" w:w="1080"/>
            <w:vAlign w:val="center"/>
          </w:tcPr>
          <w:p>
            <w:pPr>
              <w:spacing w:after="20"/>
            </w:pPr>
            <w:r>
              <w:rPr>
                <w:sz w:val="20"/>
                <w:szCs w:val="20"/>
              </w:rPr>
              <w:t>S</w:t>
            </w:r>
          </w:p>
        </w:tc>
        <w:tc>
          <w:tcPr>
            <w:tcW w:type="dxa" w:w="1080"/>
            <w:vAlign w:val="center"/>
          </w:tcPr>
          <w:p>
            <w:pPr>
              <w:spacing w:after="20"/>
            </w:pPr>
            <w:r>
              <w:rPr>
                <w:sz w:val="20"/>
                <w:szCs w:val="20"/>
              </w:rPr>
              <w:t>S</w:t>
            </w:r>
          </w:p>
        </w:tc>
        <w:tc>
          <w:tcPr>
            <w:tcW w:type="dxa" w:w="1080"/>
            <w:vAlign w:val="center"/>
          </w:tcPr>
          <w:p>
            <w:pPr>
              <w:spacing w:after="20"/>
            </w:pPr>
            <w:r>
              <w:rPr>
                <w:sz w:val="20"/>
                <w:szCs w:val="20"/>
              </w:rPr>
              <w:t>S</w:t>
            </w:r>
          </w:p>
        </w:tc>
        <w:tc>
          <w:tcPr>
            <w:tcW w:type="dxa" w:w="1080"/>
            <w:vAlign w:val="center"/>
          </w:tcPr>
          <w:p>
            <w:pPr>
              <w:spacing w:after="20"/>
            </w:pPr>
            <w:r>
              <w:rPr>
                <w:sz w:val="20"/>
                <w:szCs w:val="20"/>
              </w:rPr>
              <w:t>Public syntax/schema is undocumented</w:t>
            </w:r>
          </w:p>
        </w:tc>
      </w:tr>
      <w:tr>
        <w:tc>
          <w:tcPr>
            <w:tcW w:type="dxa" w:w="1080"/>
            <w:vAlign w:val="center"/>
          </w:tcPr>
          <w:p>
            <w:pPr>
              <w:spacing w:after="20"/>
            </w:pPr>
            <w:hyperlink r:id="rId24">
              <w:r>
                <w:rPr>
                  <w:color w:val="0563C1"/>
                  <w:u w:val="single"/>
                  <w:sz w:val="20"/>
                  <w:szCs w:val="20"/>
                </w:rPr>
                <w:t>Cerbos</w:t>
              </w:r>
            </w:hyperlink>
          </w:p>
        </w:tc>
        <w:tc>
          <w:tcPr>
            <w:tcW w:type="dxa" w:w="1080"/>
            <w:vAlign w:val="center"/>
          </w:tcPr>
          <w:p>
            <w:pPr>
              <w:spacing w:after="20"/>
            </w:pPr>
            <w:r>
              <w:rPr>
                <w:sz w:val="20"/>
                <w:szCs w:val="20"/>
              </w:rPr>
              <w:t>Fine-grained authorization</w:t>
            </w:r>
          </w:p>
        </w:tc>
        <w:tc>
          <w:tcPr>
            <w:tcW w:type="dxa" w:w="1080"/>
            <w:vAlign w:val="center"/>
          </w:tcPr>
          <w:p>
            <w:pPr>
              <w:spacing w:after="20"/>
            </w:pPr>
            <w:r>
              <w:rPr>
                <w:sz w:val="20"/>
                <w:szCs w:val="20"/>
              </w:rPr>
              <w:t>Yes</w:t>
            </w:r>
          </w:p>
        </w:tc>
        <w:tc>
          <w:tcPr>
            <w:tcW w:type="dxa" w:w="1080"/>
            <w:vAlign w:val="center"/>
          </w:tcPr>
          <w:p>
            <w:pPr>
              <w:spacing w:after="20"/>
            </w:pPr>
            <w:r>
              <w:rPr>
                <w:sz w:val="20"/>
                <w:szCs w:val="20"/>
              </w:rPr>
              <w:t>YAML/JSON policies with CEL</w:t>
            </w:r>
          </w:p>
        </w:tc>
        <w:tc>
          <w:tcPr>
            <w:tcW w:type="dxa" w:w="1080"/>
            <w:vAlign w:val="center"/>
          </w:tcPr>
          <w:p>
            <w:pPr>
              <w:spacing w:after="20"/>
            </w:pPr>
            <w:r>
              <w:rPr>
                <w:sz w:val="20"/>
                <w:szCs w:val="20"/>
              </w:rPr>
              <w:t>P</w:t>
            </w:r>
          </w:p>
        </w:tc>
        <w:tc>
          <w:tcPr>
            <w:tcW w:type="dxa" w:w="1080"/>
            <w:vAlign w:val="center"/>
          </w:tcPr>
          <w:p>
            <w:pPr>
              <w:spacing w:after="20"/>
            </w:pPr>
            <w:r>
              <w:rPr>
                <w:sz w:val="20"/>
                <w:szCs w:val="20"/>
              </w:rPr>
              <w:t>P</w:t>
            </w:r>
          </w:p>
        </w:tc>
        <w:tc>
          <w:tcPr>
            <w:tcW w:type="dxa" w:w="1080"/>
            <w:vAlign w:val="center"/>
          </w:tcPr>
          <w:p>
            <w:pPr>
              <w:spacing w:after="20"/>
            </w:pPr>
            <w:r>
              <w:rPr>
                <w:sz w:val="20"/>
                <w:szCs w:val="20"/>
              </w:rPr>
              <w:t>S</w:t>
            </w:r>
          </w:p>
        </w:tc>
        <w:tc>
          <w:tcPr>
            <w:tcW w:type="dxa" w:w="1080"/>
            <w:vAlign w:val="center"/>
          </w:tcPr>
          <w:p>
            <w:pPr>
              <w:spacing w:after="20"/>
            </w:pPr>
            <w:r>
              <w:rPr>
                <w:sz w:val="20"/>
                <w:szCs w:val="20"/>
              </w:rPr>
              <w:t>—</w:t>
            </w:r>
          </w:p>
        </w:tc>
        <w:tc>
          <w:tcPr>
            <w:tcW w:type="dxa" w:w="1080"/>
            <w:vAlign w:val="center"/>
          </w:tcPr>
          <w:p>
            <w:pPr>
              <w:spacing w:after="20"/>
            </w:pPr>
            <w:r>
              <w:rPr>
                <w:sz w:val="20"/>
                <w:szCs w:val="20"/>
              </w:rPr>
              <w:t>S</w:t>
            </w:r>
          </w:p>
        </w:tc>
        <w:tc>
          <w:tcPr>
            <w:tcW w:type="dxa" w:w="1080"/>
            <w:vAlign w:val="center"/>
          </w:tcPr>
          <w:p>
            <w:pPr>
              <w:spacing w:after="20"/>
            </w:pPr>
            <w:r>
              <w:rPr>
                <w:sz w:val="20"/>
                <w:szCs w:val="20"/>
              </w:rPr>
              <w:t>—</w:t>
            </w:r>
          </w:p>
        </w:tc>
        <w:tc>
          <w:tcPr>
            <w:tcW w:type="dxa" w:w="1080"/>
            <w:vAlign w:val="center"/>
          </w:tcPr>
          <w:p>
            <w:pPr>
              <w:spacing w:after="20"/>
            </w:pPr>
            <w:r>
              <w:rPr>
                <w:sz w:val="20"/>
                <w:szCs w:val="20"/>
              </w:rPr>
              <w:t>—</w:t>
            </w:r>
          </w:p>
        </w:tc>
        <w:tc>
          <w:tcPr>
            <w:tcW w:type="dxa" w:w="1080"/>
            <w:vAlign w:val="center"/>
          </w:tcPr>
          <w:p>
            <w:pPr>
              <w:spacing w:after="20"/>
            </w:pPr>
            <w:r>
              <w:rPr>
                <w:sz w:val="20"/>
                <w:szCs w:val="20"/>
              </w:rPr>
              <w:t>S</w:t>
            </w:r>
          </w:p>
        </w:tc>
        <w:tc>
          <w:tcPr>
            <w:tcW w:type="dxa" w:w="1080"/>
            <w:vAlign w:val="center"/>
          </w:tcPr>
          <w:p>
            <w:pPr>
              <w:spacing w:after="20"/>
            </w:pPr>
            <w:r>
              <w:rPr>
                <w:sz w:val="20"/>
                <w:szCs w:val="20"/>
              </w:rPr>
              <w:t>P</w:t>
            </w:r>
          </w:p>
        </w:tc>
        <w:tc>
          <w:tcPr>
            <w:tcW w:type="dxa" w:w="1080"/>
            <w:vAlign w:val="center"/>
          </w:tcPr>
          <w:p>
            <w:pPr>
              <w:spacing w:after="20"/>
            </w:pPr>
            <w:r>
              <w:rPr>
                <w:sz w:val="20"/>
                <w:szCs w:val="20"/>
              </w:rPr>
              <w:t>Authorization PDP, not full agent governance</w:t>
            </w:r>
          </w:p>
        </w:tc>
      </w:tr>
      <w:tr>
        <w:tc>
          <w:tcPr>
            <w:tcW w:type="dxa" w:w="1080"/>
            <w:vAlign w:val="center"/>
          </w:tcPr>
          <w:p>
            <w:pPr>
              <w:spacing w:after="20"/>
            </w:pPr>
            <w:hyperlink r:id="rId25">
              <w:r>
                <w:rPr>
                  <w:color w:val="0563C1"/>
                  <w:u w:val="single"/>
                  <w:sz w:val="20"/>
                  <w:szCs w:val="20"/>
                </w:rPr>
                <w:t>Permit.io</w:t>
              </w:r>
            </w:hyperlink>
          </w:p>
        </w:tc>
        <w:tc>
          <w:tcPr>
            <w:tcW w:type="dxa" w:w="1080"/>
            <w:vAlign w:val="center"/>
          </w:tcPr>
          <w:p>
            <w:pPr>
              <w:spacing w:after="20"/>
            </w:pPr>
            <w:r>
              <w:rPr>
                <w:sz w:val="20"/>
                <w:szCs w:val="20"/>
              </w:rPr>
              <w:t>Authorization and access requests</w:t>
            </w:r>
          </w:p>
        </w:tc>
        <w:tc>
          <w:tcPr>
            <w:tcW w:type="dxa" w:w="1080"/>
            <w:vAlign w:val="center"/>
          </w:tcPr>
          <w:p>
            <w:pPr>
              <w:spacing w:after="20"/>
            </w:pPr>
            <w:r>
              <w:rPr>
                <w:sz w:val="20"/>
                <w:szCs w:val="20"/>
              </w:rPr>
              <w:t>Partial</w:t>
            </w:r>
          </w:p>
        </w:tc>
        <w:tc>
          <w:tcPr>
            <w:tcW w:type="dxa" w:w="1080"/>
            <w:vAlign w:val="center"/>
          </w:tcPr>
          <w:p>
            <w:pPr>
              <w:spacing w:after="20"/>
            </w:pPr>
            <w:r>
              <w:rPr>
                <w:sz w:val="20"/>
                <w:szCs w:val="20"/>
              </w:rPr>
              <w:t>Rego; Cedar; UI; relationship tuples</w:t>
            </w:r>
          </w:p>
        </w:tc>
        <w:tc>
          <w:tcPr>
            <w:tcW w:type="dxa" w:w="1080"/>
            <w:vAlign w:val="center"/>
          </w:tcPr>
          <w:p>
            <w:pPr>
              <w:spacing w:after="20"/>
            </w:pPr>
            <w:r>
              <w:rPr>
                <w:sz w:val="20"/>
                <w:szCs w:val="20"/>
              </w:rPr>
              <w:t>P</w:t>
            </w:r>
          </w:p>
        </w:tc>
        <w:tc>
          <w:tcPr>
            <w:tcW w:type="dxa" w:w="1080"/>
            <w:vAlign w:val="center"/>
          </w:tcPr>
          <w:p>
            <w:pPr>
              <w:spacing w:after="20"/>
            </w:pPr>
            <w:r>
              <w:rPr>
                <w:sz w:val="20"/>
                <w:szCs w:val="20"/>
              </w:rPr>
              <w:t>P</w:t>
            </w:r>
          </w:p>
        </w:tc>
        <w:tc>
          <w:tcPr>
            <w:tcW w:type="dxa" w:w="1080"/>
            <w:vAlign w:val="center"/>
          </w:tcPr>
          <w:p>
            <w:pPr>
              <w:spacing w:after="20"/>
            </w:pPr>
            <w:r>
              <w:rPr>
                <w:sz w:val="20"/>
                <w:szCs w:val="20"/>
              </w:rPr>
              <w:t>S</w:t>
            </w:r>
          </w:p>
        </w:tc>
        <w:tc>
          <w:tcPr>
            <w:tcW w:type="dxa" w:w="1080"/>
            <w:vAlign w:val="center"/>
          </w:tcPr>
          <w:p>
            <w:pPr>
              <w:spacing w:after="20"/>
            </w:pPr>
            <w:r>
              <w:rPr>
                <w:sz w:val="20"/>
                <w:szCs w:val="20"/>
              </w:rPr>
              <w:t>—</w:t>
            </w:r>
          </w:p>
        </w:tc>
        <w:tc>
          <w:tcPr>
            <w:tcW w:type="dxa" w:w="1080"/>
            <w:vAlign w:val="center"/>
          </w:tcPr>
          <w:p>
            <w:pPr>
              <w:spacing w:after="20"/>
            </w:pPr>
            <w:r>
              <w:rPr>
                <w:sz w:val="20"/>
                <w:szCs w:val="20"/>
              </w:rPr>
              <w:t>S</w:t>
            </w:r>
          </w:p>
        </w:tc>
        <w:tc>
          <w:tcPr>
            <w:tcW w:type="dxa" w:w="1080"/>
            <w:vAlign w:val="center"/>
          </w:tcPr>
          <w:p>
            <w:pPr>
              <w:spacing w:after="20"/>
            </w:pPr>
            <w:r>
              <w:rPr>
                <w:sz w:val="20"/>
                <w:szCs w:val="20"/>
              </w:rPr>
              <w:t>S</w:t>
            </w:r>
          </w:p>
        </w:tc>
        <w:tc>
          <w:tcPr>
            <w:tcW w:type="dxa" w:w="1080"/>
            <w:vAlign w:val="center"/>
          </w:tcPr>
          <w:p>
            <w:pPr>
              <w:spacing w:after="20"/>
            </w:pPr>
            <w:r>
              <w:rPr>
                <w:sz w:val="20"/>
                <w:szCs w:val="20"/>
              </w:rPr>
              <w:t>—</w:t>
            </w:r>
          </w:p>
        </w:tc>
        <w:tc>
          <w:tcPr>
            <w:tcW w:type="dxa" w:w="1080"/>
            <w:vAlign w:val="center"/>
          </w:tcPr>
          <w:p>
            <w:pPr>
              <w:spacing w:after="20"/>
            </w:pPr>
            <w:r>
              <w:rPr>
                <w:sz w:val="20"/>
                <w:szCs w:val="20"/>
              </w:rPr>
              <w:t>P</w:t>
            </w:r>
          </w:p>
        </w:tc>
        <w:tc>
          <w:tcPr>
            <w:tcW w:type="dxa" w:w="1080"/>
            <w:vAlign w:val="center"/>
          </w:tcPr>
          <w:p>
            <w:pPr>
              <w:spacing w:after="20"/>
            </w:pPr>
            <w:r>
              <w:rPr>
                <w:sz w:val="20"/>
                <w:szCs w:val="20"/>
              </w:rPr>
              <w:t>P</w:t>
            </w:r>
          </w:p>
        </w:tc>
        <w:tc>
          <w:tcPr>
            <w:tcW w:type="dxa" w:w="1080"/>
            <w:vAlign w:val="center"/>
          </w:tcPr>
          <w:p>
            <w:pPr>
              <w:spacing w:after="20"/>
            </w:pPr>
            <w:r>
              <w:rPr>
                <w:sz w:val="20"/>
                <w:szCs w:val="20"/>
              </w:rPr>
              <w:t>Local PDP depends on managed control plane</w:t>
            </w:r>
          </w:p>
        </w:tc>
      </w:tr>
      <w:tr>
        <w:tc>
          <w:tcPr>
            <w:tcW w:type="dxa" w:w="1080"/>
            <w:vAlign w:val="center"/>
          </w:tcPr>
          <w:p>
            <w:pPr>
              <w:spacing w:after="20"/>
            </w:pPr>
            <w:hyperlink r:id="rId26">
              <w:r>
                <w:rPr>
                  <w:color w:val="0563C1"/>
                  <w:u w:val="single"/>
                  <w:sz w:val="20"/>
                  <w:szCs w:val="20"/>
                </w:rPr>
                <w:t>Okta Cross App Access</w:t>
              </w:r>
            </w:hyperlink>
          </w:p>
        </w:tc>
        <w:tc>
          <w:tcPr>
            <w:tcW w:type="dxa" w:w="1080"/>
            <w:vAlign w:val="center"/>
          </w:tcPr>
          <w:p>
            <w:pPr>
              <w:spacing w:after="20"/>
            </w:pPr>
            <w:r>
              <w:rPr>
                <w:sz w:val="20"/>
                <w:szCs w:val="20"/>
              </w:rPr>
              <w:t>Enterprise agent-to-app authorization</w:t>
            </w:r>
          </w:p>
        </w:tc>
        <w:tc>
          <w:tcPr>
            <w:tcW w:type="dxa" w:w="1080"/>
            <w:vAlign w:val="center"/>
          </w:tcPr>
          <w:p>
            <w:pPr>
              <w:spacing w:after="20"/>
            </w:pPr>
            <w:r>
              <w:rPr>
                <w:sz w:val="20"/>
                <w:szCs w:val="20"/>
              </w:rPr>
              <w:t>No</w:t>
            </w:r>
          </w:p>
        </w:tc>
        <w:tc>
          <w:tcPr>
            <w:tcW w:type="dxa" w:w="1080"/>
            <w:vAlign w:val="center"/>
          </w:tcPr>
          <w:p>
            <w:pPr>
              <w:spacing w:after="20"/>
            </w:pPr>
            <w:r>
              <w:rPr>
                <w:sz w:val="20"/>
                <w:szCs w:val="20"/>
              </w:rPr>
              <w:t>Console connection/scope allowlists</w:t>
            </w:r>
          </w:p>
        </w:tc>
        <w:tc>
          <w:tcPr>
            <w:tcW w:type="dxa" w:w="1080"/>
            <w:vAlign w:val="center"/>
          </w:tcPr>
          <w:p>
            <w:pPr>
              <w:spacing w:after="20"/>
            </w:pPr>
            <w:r>
              <w:rPr>
                <w:sz w:val="20"/>
                <w:szCs w:val="20"/>
              </w:rPr>
              <w:t>P</w:t>
            </w:r>
          </w:p>
        </w:tc>
        <w:tc>
          <w:tcPr>
            <w:tcW w:type="dxa" w:w="1080"/>
            <w:vAlign w:val="center"/>
          </w:tcPr>
          <w:p>
            <w:pPr>
              <w:spacing w:after="20"/>
            </w:pPr>
            <w:r>
              <w:rPr>
                <w:sz w:val="20"/>
                <w:szCs w:val="20"/>
              </w:rPr>
              <w:t>S</w:t>
            </w:r>
          </w:p>
        </w:tc>
        <w:tc>
          <w:tcPr>
            <w:tcW w:type="dxa" w:w="1080"/>
            <w:vAlign w:val="center"/>
          </w:tcPr>
          <w:p>
            <w:pPr>
              <w:spacing w:after="20"/>
            </w:pPr>
            <w:r>
              <w:rPr>
                <w:sz w:val="20"/>
                <w:szCs w:val="20"/>
              </w:rPr>
              <w:t>P</w:t>
            </w:r>
          </w:p>
        </w:tc>
        <w:tc>
          <w:tcPr>
            <w:tcW w:type="dxa" w:w="1080"/>
            <w:vAlign w:val="center"/>
          </w:tcPr>
          <w:p>
            <w:pPr>
              <w:spacing w:after="20"/>
            </w:pPr>
            <w:r>
              <w:rPr>
                <w:sz w:val="20"/>
                <w:szCs w:val="20"/>
              </w:rPr>
              <w:t>—</w:t>
            </w:r>
          </w:p>
        </w:tc>
        <w:tc>
          <w:tcPr>
            <w:tcW w:type="dxa" w:w="1080"/>
            <w:vAlign w:val="center"/>
          </w:tcPr>
          <w:p>
            <w:pPr>
              <w:spacing w:after="20"/>
            </w:pPr>
            <w:r>
              <w:rPr>
                <w:sz w:val="20"/>
                <w:szCs w:val="20"/>
              </w:rPr>
              <w:t>S</w:t>
            </w:r>
          </w:p>
        </w:tc>
        <w:tc>
          <w:tcPr>
            <w:tcW w:type="dxa" w:w="1080"/>
            <w:vAlign w:val="center"/>
          </w:tcPr>
          <w:p>
            <w:pPr>
              <w:spacing w:after="20"/>
            </w:pPr>
            <w:r>
              <w:rPr>
                <w:sz w:val="20"/>
                <w:szCs w:val="20"/>
              </w:rPr>
              <w:t>P</w:t>
            </w:r>
          </w:p>
        </w:tc>
        <w:tc>
          <w:tcPr>
            <w:tcW w:type="dxa" w:w="1080"/>
            <w:vAlign w:val="center"/>
          </w:tcPr>
          <w:p>
            <w:pPr>
              <w:spacing w:after="20"/>
            </w:pPr>
            <w:r>
              <w:rPr>
                <w:sz w:val="20"/>
                <w:szCs w:val="20"/>
              </w:rPr>
              <w:t>—</w:t>
            </w:r>
          </w:p>
        </w:tc>
        <w:tc>
          <w:tcPr>
            <w:tcW w:type="dxa" w:w="1080"/>
            <w:vAlign w:val="center"/>
          </w:tcPr>
          <w:p>
            <w:pPr>
              <w:spacing w:after="20"/>
            </w:pPr>
            <w:r>
              <w:rPr>
                <w:sz w:val="20"/>
                <w:szCs w:val="20"/>
              </w:rPr>
              <w:t>P</w:t>
            </w:r>
          </w:p>
        </w:tc>
        <w:tc>
          <w:tcPr>
            <w:tcW w:type="dxa" w:w="1080"/>
            <w:vAlign w:val="center"/>
          </w:tcPr>
          <w:p>
            <w:pPr>
              <w:spacing w:after="20"/>
            </w:pPr>
            <w:r>
              <w:rPr>
                <w:sz w:val="20"/>
                <w:szCs w:val="20"/>
              </w:rPr>
              <w:t>P</w:t>
            </w:r>
          </w:p>
        </w:tc>
        <w:tc>
          <w:tcPr>
            <w:tcW w:type="dxa" w:w="1080"/>
            <w:vAlign w:val="center"/>
          </w:tcPr>
          <w:p>
            <w:pPr>
              <w:spacing w:after="20"/>
            </w:pPr>
            <w:r>
              <w:rPr>
                <w:sz w:val="20"/>
                <w:szCs w:val="20"/>
              </w:rPr>
              <w:t>Downstream resource policy remains external</w:t>
            </w:r>
          </w:p>
        </w:tc>
      </w:tr>
      <w:tr>
        <w:tc>
          <w:tcPr>
            <w:tcW w:type="dxa" w:w="1080"/>
            <w:vAlign w:val="center"/>
          </w:tcPr>
          <w:p>
            <w:pPr>
              <w:spacing w:after="20"/>
            </w:pPr>
            <w:hyperlink r:id="rId27">
              <w:r>
                <w:rPr>
                  <w:color w:val="0563C1"/>
                  <w:u w:val="single"/>
                  <w:sz w:val="20"/>
                  <w:szCs w:val="20"/>
                </w:rPr>
                <w:t>Oasis Security</w:t>
              </w:r>
            </w:hyperlink>
          </w:p>
        </w:tc>
        <w:tc>
          <w:tcPr>
            <w:tcW w:type="dxa" w:w="1080"/>
            <w:vAlign w:val="center"/>
          </w:tcPr>
          <w:p>
            <w:pPr>
              <w:spacing w:after="20"/>
            </w:pPr>
            <w:r>
              <w:rPr>
                <w:sz w:val="20"/>
                <w:szCs w:val="20"/>
              </w:rPr>
              <w:t>Non-human identity posture</w:t>
            </w:r>
          </w:p>
        </w:tc>
        <w:tc>
          <w:tcPr>
            <w:tcW w:type="dxa" w:w="1080"/>
            <w:vAlign w:val="center"/>
          </w:tcPr>
          <w:p>
            <w:pPr>
              <w:spacing w:after="20"/>
            </w:pPr>
            <w:r>
              <w:rPr>
                <w:sz w:val="20"/>
                <w:szCs w:val="20"/>
              </w:rPr>
              <w:t>No</w:t>
            </w:r>
          </w:p>
        </w:tc>
        <w:tc>
          <w:tcPr>
            <w:tcW w:type="dxa" w:w="1080"/>
            <w:vAlign w:val="center"/>
          </w:tcPr>
          <w:p>
            <w:pPr>
              <w:spacing w:after="20"/>
            </w:pPr>
            <w:r>
              <w:rPr>
                <w:sz w:val="20"/>
                <w:szCs w:val="20"/>
              </w:rPr>
              <w:t>Proprietary deterministic engine</w:t>
            </w:r>
          </w:p>
        </w:tc>
        <w:tc>
          <w:tcPr>
            <w:tcW w:type="dxa" w:w="1080"/>
            <w:vAlign w:val="center"/>
          </w:tcPr>
          <w:p>
            <w:pPr>
              <w:spacing w:after="20"/>
            </w:pPr>
            <w:r>
              <w:rPr>
                <w:sz w:val="20"/>
                <w:szCs w:val="20"/>
              </w:rPr>
              <w:t>S</w:t>
            </w:r>
          </w:p>
        </w:tc>
        <w:tc>
          <w:tcPr>
            <w:tcW w:type="dxa" w:w="1080"/>
            <w:vAlign w:val="center"/>
          </w:tcPr>
          <w:p>
            <w:pPr>
              <w:spacing w:after="20"/>
            </w:pPr>
            <w:r>
              <w:rPr>
                <w:sz w:val="20"/>
                <w:szCs w:val="20"/>
              </w:rPr>
              <w:t>S</w:t>
            </w:r>
          </w:p>
        </w:tc>
        <w:tc>
          <w:tcPr>
            <w:tcW w:type="dxa" w:w="1080"/>
            <w:vAlign w:val="center"/>
          </w:tcPr>
          <w:p>
            <w:pPr>
              <w:spacing w:after="20"/>
            </w:pPr>
            <w:r>
              <w:rPr>
                <w:sz w:val="20"/>
                <w:szCs w:val="20"/>
              </w:rPr>
              <w:t>P</w:t>
            </w:r>
          </w:p>
        </w:tc>
        <w:tc>
          <w:tcPr>
            <w:tcW w:type="dxa" w:w="1080"/>
            <w:vAlign w:val="center"/>
          </w:tcPr>
          <w:p>
            <w:pPr>
              <w:spacing w:after="20"/>
            </w:pPr>
            <w:r>
              <w:rPr>
                <w:sz w:val="20"/>
                <w:szCs w:val="20"/>
              </w:rPr>
              <w:t>—</w:t>
            </w:r>
          </w:p>
        </w:tc>
        <w:tc>
          <w:tcPr>
            <w:tcW w:type="dxa" w:w="1080"/>
            <w:vAlign w:val="center"/>
          </w:tcPr>
          <w:p>
            <w:pPr>
              <w:spacing w:after="20"/>
            </w:pPr>
            <w:r>
              <w:rPr>
                <w:sz w:val="20"/>
                <w:szCs w:val="20"/>
              </w:rPr>
              <w:t>S</w:t>
            </w:r>
          </w:p>
        </w:tc>
        <w:tc>
          <w:tcPr>
            <w:tcW w:type="dxa" w:w="1080"/>
            <w:vAlign w:val="center"/>
          </w:tcPr>
          <w:p>
            <w:pPr>
              <w:spacing w:after="20"/>
            </w:pPr>
            <w:r>
              <w:rPr>
                <w:sz w:val="20"/>
                <w:szCs w:val="20"/>
              </w:rPr>
              <w:t>—</w:t>
            </w:r>
          </w:p>
        </w:tc>
        <w:tc>
          <w:tcPr>
            <w:tcW w:type="dxa" w:w="1080"/>
            <w:vAlign w:val="center"/>
          </w:tcPr>
          <w:p>
            <w:pPr>
              <w:spacing w:after="20"/>
            </w:pPr>
            <w:r>
              <w:rPr>
                <w:sz w:val="20"/>
                <w:szCs w:val="20"/>
              </w:rPr>
              <w:t>S</w:t>
            </w:r>
          </w:p>
        </w:tc>
        <w:tc>
          <w:tcPr>
            <w:tcW w:type="dxa" w:w="1080"/>
            <w:vAlign w:val="center"/>
          </w:tcPr>
          <w:p>
            <w:pPr>
              <w:spacing w:after="20"/>
            </w:pPr>
            <w:r>
              <w:rPr>
                <w:sz w:val="20"/>
                <w:szCs w:val="20"/>
              </w:rPr>
              <w:t>S</w:t>
            </w:r>
          </w:p>
        </w:tc>
        <w:tc>
          <w:tcPr>
            <w:tcW w:type="dxa" w:w="1080"/>
            <w:vAlign w:val="center"/>
          </w:tcPr>
          <w:p>
            <w:pPr>
              <w:spacing w:after="20"/>
            </w:pPr>
            <w:r>
              <w:rPr>
                <w:sz w:val="20"/>
                <w:szCs w:val="20"/>
              </w:rPr>
              <w:t>S</w:t>
            </w:r>
          </w:p>
        </w:tc>
        <w:tc>
          <w:tcPr>
            <w:tcW w:type="dxa" w:w="1080"/>
            <w:vAlign w:val="center"/>
          </w:tcPr>
          <w:p>
            <w:pPr>
              <w:spacing w:after="20"/>
            </w:pPr>
            <w:r>
              <w:rPr>
                <w:sz w:val="20"/>
                <w:szCs w:val="20"/>
              </w:rPr>
              <w:t>Public authoring format is undocumented</w:t>
            </w:r>
          </w:p>
        </w:tc>
      </w:tr>
      <w:tr>
        <w:tc>
          <w:tcPr>
            <w:tcW w:type="dxa" w:w="1080"/>
            <w:vAlign w:val="center"/>
          </w:tcPr>
          <w:p>
            <w:pPr>
              <w:spacing w:after="20"/>
            </w:pPr>
            <w:hyperlink r:id="rId28">
              <w:r>
                <w:rPr>
                  <w:color w:val="0563C1"/>
                  <w:u w:val="single"/>
                  <w:sz w:val="20"/>
                  <w:szCs w:val="20"/>
                </w:rPr>
                <w:t>Credo AI Agent Governor</w:t>
              </w:r>
            </w:hyperlink>
          </w:p>
        </w:tc>
        <w:tc>
          <w:tcPr>
            <w:tcW w:type="dxa" w:w="1080"/>
            <w:vAlign w:val="center"/>
          </w:tcPr>
          <w:p>
            <w:pPr>
              <w:spacing w:after="20"/>
            </w:pPr>
            <w:r>
              <w:rPr>
                <w:sz w:val="20"/>
                <w:szCs w:val="20"/>
              </w:rPr>
              <w:t>Governance-as-code harness</w:t>
            </w:r>
          </w:p>
        </w:tc>
        <w:tc>
          <w:tcPr>
            <w:tcW w:type="dxa" w:w="1080"/>
            <w:vAlign w:val="center"/>
          </w:tcPr>
          <w:p>
            <w:pPr>
              <w:spacing w:after="20"/>
            </w:pPr>
            <w:r>
              <w:rPr>
                <w:sz w:val="20"/>
                <w:szCs w:val="20"/>
              </w:rPr>
              <w:t>Partial</w:t>
            </w:r>
          </w:p>
        </w:tc>
        <w:tc>
          <w:tcPr>
            <w:tcW w:type="dxa" w:w="1080"/>
            <w:vAlign w:val="center"/>
          </w:tcPr>
          <w:p>
            <w:pPr>
              <w:spacing w:after="20"/>
            </w:pPr>
            <w:r>
              <w:rPr>
                <w:sz w:val="20"/>
                <w:szCs w:val="20"/>
              </w:rPr>
              <w:t>Generated hooks/skills/settings</w:t>
            </w:r>
          </w:p>
        </w:tc>
        <w:tc>
          <w:tcPr>
            <w:tcW w:type="dxa" w:w="1080"/>
            <w:vAlign w:val="center"/>
          </w:tcPr>
          <w:p>
            <w:pPr>
              <w:spacing w:after="20"/>
            </w:pPr>
            <w:r>
              <w:rPr>
                <w:sz w:val="20"/>
                <w:szCs w:val="20"/>
              </w:rPr>
              <w:t>P</w:t>
            </w:r>
          </w:p>
        </w:tc>
        <w:tc>
          <w:tcPr>
            <w:tcW w:type="dxa" w:w="1080"/>
            <w:vAlign w:val="center"/>
          </w:tcPr>
          <w:p>
            <w:pPr>
              <w:spacing w:after="20"/>
            </w:pPr>
            <w:r>
              <w:rPr>
                <w:sz w:val="20"/>
                <w:szCs w:val="20"/>
              </w:rPr>
              <w:t>P</w:t>
            </w:r>
          </w:p>
        </w:tc>
        <w:tc>
          <w:tcPr>
            <w:tcW w:type="dxa" w:w="1080"/>
            <w:vAlign w:val="center"/>
          </w:tcPr>
          <w:p>
            <w:pPr>
              <w:spacing w:after="20"/>
            </w:pPr>
            <w:r>
              <w:rPr>
                <w:sz w:val="20"/>
                <w:szCs w:val="20"/>
              </w:rPr>
              <w:t>S</w:t>
            </w:r>
          </w:p>
        </w:tc>
        <w:tc>
          <w:tcPr>
            <w:tcW w:type="dxa" w:w="1080"/>
            <w:vAlign w:val="center"/>
          </w:tcPr>
          <w:p>
            <w:pPr>
              <w:spacing w:after="20"/>
            </w:pPr>
            <w:r>
              <w:rPr>
                <w:sz w:val="20"/>
                <w:szCs w:val="20"/>
              </w:rPr>
              <w:t>—</w:t>
            </w:r>
          </w:p>
        </w:tc>
        <w:tc>
          <w:tcPr>
            <w:tcW w:type="dxa" w:w="1080"/>
            <w:vAlign w:val="center"/>
          </w:tcPr>
          <w:p>
            <w:pPr>
              <w:spacing w:after="20"/>
            </w:pPr>
            <w:r>
              <w:rPr>
                <w:sz w:val="20"/>
                <w:szCs w:val="20"/>
              </w:rPr>
              <w:t>S</w:t>
            </w:r>
          </w:p>
        </w:tc>
        <w:tc>
          <w:tcPr>
            <w:tcW w:type="dxa" w:w="1080"/>
            <w:vAlign w:val="center"/>
          </w:tcPr>
          <w:p>
            <w:pPr>
              <w:spacing w:after="20"/>
            </w:pPr>
            <w:r>
              <w:rPr>
                <w:sz w:val="20"/>
                <w:szCs w:val="20"/>
              </w:rPr>
              <w:t>—</w:t>
            </w:r>
          </w:p>
        </w:tc>
        <w:tc>
          <w:tcPr>
            <w:tcW w:type="dxa" w:w="1080"/>
            <w:vAlign w:val="center"/>
          </w:tcPr>
          <w:p>
            <w:pPr>
              <w:spacing w:after="20"/>
            </w:pPr>
            <w:r>
              <w:rPr>
                <w:sz w:val="20"/>
                <w:szCs w:val="20"/>
              </w:rPr>
              <w:t>S</w:t>
            </w:r>
          </w:p>
        </w:tc>
        <w:tc>
          <w:tcPr>
            <w:tcW w:type="dxa" w:w="1080"/>
            <w:vAlign w:val="center"/>
          </w:tcPr>
          <w:p>
            <w:pPr>
              <w:spacing w:after="20"/>
            </w:pPr>
            <w:r>
              <w:rPr>
                <w:sz w:val="20"/>
                <w:szCs w:val="20"/>
              </w:rPr>
              <w:t>S</w:t>
            </w:r>
          </w:p>
        </w:tc>
        <w:tc>
          <w:tcPr>
            <w:tcW w:type="dxa" w:w="1080"/>
            <w:vAlign w:val="center"/>
          </w:tcPr>
          <w:p>
            <w:pPr>
              <w:spacing w:after="20"/>
            </w:pPr>
            <w:r>
              <w:rPr>
                <w:sz w:val="20"/>
                <w:szCs w:val="20"/>
              </w:rPr>
              <w:t>P</w:t>
            </w:r>
          </w:p>
        </w:tc>
        <w:tc>
          <w:tcPr>
            <w:tcW w:type="dxa" w:w="1080"/>
            <w:vAlign w:val="center"/>
          </w:tcPr>
          <w:p>
            <w:pPr>
              <w:spacing w:after="20"/>
            </w:pPr>
            <w:r>
              <w:rPr>
                <w:sz w:val="20"/>
                <w:szCs w:val="20"/>
              </w:rPr>
              <w:t>No public standalone grammar; research preview</w:t>
            </w:r>
          </w:p>
        </w:tc>
      </w:tr>
      <w:tr>
        <w:tc>
          <w:tcPr>
            <w:tcW w:type="dxa" w:w="1080"/>
            <w:vAlign w:val="center"/>
          </w:tcPr>
          <w:p>
            <w:pPr>
              <w:spacing w:after="20"/>
            </w:pPr>
            <w:hyperlink r:id="rId29">
              <w:r>
                <w:rPr>
                  <w:color w:val="0563C1"/>
                  <w:u w:val="single"/>
                  <w:sz w:val="20"/>
                  <w:szCs w:val="20"/>
                </w:rPr>
                <w:t>Galileo Agent Control</w:t>
              </w:r>
            </w:hyperlink>
          </w:p>
        </w:tc>
        <w:tc>
          <w:tcPr>
            <w:tcW w:type="dxa" w:w="1080"/>
            <w:vAlign w:val="center"/>
          </w:tcPr>
          <w:p>
            <w:pPr>
              <w:spacing w:after="20"/>
            </w:pPr>
            <w:r>
              <w:rPr>
                <w:sz w:val="20"/>
                <w:szCs w:val="20"/>
              </w:rPr>
              <w:t>OSS runtime guardrails</w:t>
            </w:r>
          </w:p>
        </w:tc>
        <w:tc>
          <w:tcPr>
            <w:tcW w:type="dxa" w:w="1080"/>
            <w:vAlign w:val="center"/>
          </w:tcPr>
          <w:p>
            <w:pPr>
              <w:spacing w:after="20"/>
            </w:pPr>
            <w:r>
              <w:rPr>
                <w:sz w:val="20"/>
                <w:szCs w:val="20"/>
              </w:rPr>
              <w:t>Yes</w:t>
            </w:r>
          </w:p>
        </w:tc>
        <w:tc>
          <w:tcPr>
            <w:tcW w:type="dxa" w:w="1080"/>
            <w:vAlign w:val="center"/>
          </w:tcPr>
          <w:p>
            <w:pPr>
              <w:spacing w:after="20"/>
            </w:pPr>
            <w:r>
              <w:rPr>
                <w:sz w:val="20"/>
                <w:szCs w:val="20"/>
              </w:rPr>
              <w:t>Executable JSON control model</w:t>
            </w:r>
          </w:p>
        </w:tc>
        <w:tc>
          <w:tcPr>
            <w:tcW w:type="dxa" w:w="1080"/>
            <w:vAlign w:val="center"/>
          </w:tcPr>
          <w:p>
            <w:pPr>
              <w:spacing w:after="20"/>
            </w:pPr>
            <w:r>
              <w:rPr>
                <w:sz w:val="20"/>
                <w:szCs w:val="20"/>
              </w:rPr>
              <w:t>—</w:t>
            </w:r>
          </w:p>
        </w:tc>
        <w:tc>
          <w:tcPr>
            <w:tcW w:type="dxa" w:w="1080"/>
            <w:vAlign w:val="center"/>
          </w:tcPr>
          <w:p>
            <w:pPr>
              <w:spacing w:after="20"/>
            </w:pPr>
            <w:r>
              <w:rPr>
                <w:sz w:val="20"/>
                <w:szCs w:val="20"/>
              </w:rPr>
              <w:t>—</w:t>
            </w:r>
          </w:p>
        </w:tc>
        <w:tc>
          <w:tcPr>
            <w:tcW w:type="dxa" w:w="1080"/>
            <w:vAlign w:val="center"/>
          </w:tcPr>
          <w:p>
            <w:pPr>
              <w:spacing w:after="20"/>
            </w:pPr>
            <w:r>
              <w:rPr>
                <w:sz w:val="20"/>
                <w:szCs w:val="20"/>
              </w:rPr>
              <w:t>S</w:t>
            </w:r>
          </w:p>
        </w:tc>
        <w:tc>
          <w:tcPr>
            <w:tcW w:type="dxa" w:w="1080"/>
            <w:vAlign w:val="center"/>
          </w:tcPr>
          <w:p>
            <w:pPr>
              <w:spacing w:after="20"/>
            </w:pPr>
            <w:r>
              <w:rPr>
                <w:sz w:val="20"/>
                <w:szCs w:val="20"/>
              </w:rPr>
              <w:t>—</w:t>
            </w:r>
          </w:p>
        </w:tc>
        <w:tc>
          <w:tcPr>
            <w:tcW w:type="dxa" w:w="1080"/>
            <w:vAlign w:val="center"/>
          </w:tcPr>
          <w:p>
            <w:pPr>
              <w:spacing w:after="20"/>
            </w:pPr>
            <w:r>
              <w:rPr>
                <w:sz w:val="20"/>
                <w:szCs w:val="20"/>
              </w:rPr>
              <w:t>S</w:t>
            </w:r>
          </w:p>
        </w:tc>
        <w:tc>
          <w:tcPr>
            <w:tcW w:type="dxa" w:w="1080"/>
            <w:vAlign w:val="center"/>
          </w:tcPr>
          <w:p>
            <w:pPr>
              <w:spacing w:after="20"/>
            </w:pPr>
            <w:r>
              <w:rPr>
                <w:sz w:val="20"/>
                <w:szCs w:val="20"/>
              </w:rPr>
              <w:t>—</w:t>
            </w:r>
          </w:p>
        </w:tc>
        <w:tc>
          <w:tcPr>
            <w:tcW w:type="dxa" w:w="1080"/>
            <w:vAlign w:val="center"/>
          </w:tcPr>
          <w:p>
            <w:pPr>
              <w:spacing w:after="20"/>
            </w:pPr>
            <w:r>
              <w:rPr>
                <w:sz w:val="20"/>
                <w:szCs w:val="20"/>
              </w:rPr>
              <w:t>S</w:t>
            </w:r>
          </w:p>
        </w:tc>
        <w:tc>
          <w:tcPr>
            <w:tcW w:type="dxa" w:w="1080"/>
            <w:vAlign w:val="center"/>
          </w:tcPr>
          <w:p>
            <w:pPr>
              <w:spacing w:after="20"/>
            </w:pPr>
            <w:r>
              <w:rPr>
                <w:sz w:val="20"/>
                <w:szCs w:val="20"/>
              </w:rPr>
              <w:t>P</w:t>
            </w:r>
          </w:p>
        </w:tc>
        <w:tc>
          <w:tcPr>
            <w:tcW w:type="dxa" w:w="1080"/>
            <w:vAlign w:val="center"/>
          </w:tcPr>
          <w:p>
            <w:pPr>
              <w:spacing w:after="20"/>
            </w:pPr>
            <w:r>
              <w:rPr>
                <w:sz w:val="20"/>
                <w:szCs w:val="20"/>
              </w:rPr>
              <w:t>P</w:t>
            </w:r>
          </w:p>
        </w:tc>
        <w:tc>
          <w:tcPr>
            <w:tcW w:type="dxa" w:w="1080"/>
            <w:vAlign w:val="center"/>
          </w:tcPr>
          <w:p>
            <w:pPr>
              <w:spacing w:after="20"/>
            </w:pPr>
            <w:r>
              <w:rPr>
                <w:sz w:val="20"/>
                <w:szCs w:val="20"/>
              </w:rPr>
              <w:t>Defined rule tree, but no named general DSL</w:t>
            </w:r>
          </w:p>
        </w:tc>
      </w:tr>
      <w:tr>
        <w:tc>
          <w:tcPr>
            <w:tcW w:type="dxa" w:w="1080"/>
            <w:vAlign w:val="center"/>
          </w:tcPr>
          <w:p>
            <w:pPr>
              <w:spacing w:after="20"/>
            </w:pPr>
            <w:hyperlink r:id="rId30">
              <w:r>
                <w:rPr>
                  <w:color w:val="0563C1"/>
                  <w:u w:val="single"/>
                  <w:sz w:val="20"/>
                  <w:szCs w:val="20"/>
                </w:rPr>
                <w:t>NVIDIA NeMo Guardrails</w:t>
              </w:r>
            </w:hyperlink>
          </w:p>
        </w:tc>
        <w:tc>
          <w:tcPr>
            <w:tcW w:type="dxa" w:w="1080"/>
            <w:vAlign w:val="center"/>
          </w:tcPr>
          <w:p>
            <w:pPr>
              <w:spacing w:after="20"/>
            </w:pPr>
            <w:r>
              <w:rPr>
                <w:sz w:val="20"/>
                <w:szCs w:val="20"/>
              </w:rPr>
              <w:t>Programmable safety rails</w:t>
            </w:r>
          </w:p>
        </w:tc>
        <w:tc>
          <w:tcPr>
            <w:tcW w:type="dxa" w:w="1080"/>
            <w:vAlign w:val="center"/>
          </w:tcPr>
          <w:p>
            <w:pPr>
              <w:spacing w:after="20"/>
            </w:pPr>
            <w:r>
              <w:rPr>
                <w:sz w:val="20"/>
                <w:szCs w:val="20"/>
              </w:rPr>
              <w:t>Yes</w:t>
            </w:r>
          </w:p>
        </w:tc>
        <w:tc>
          <w:tcPr>
            <w:tcW w:type="dxa" w:w="1080"/>
            <w:vAlign w:val="center"/>
          </w:tcPr>
          <w:p>
            <w:pPr>
              <w:spacing w:after="20"/>
            </w:pPr>
            <w:r>
              <w:rPr>
                <w:sz w:val="20"/>
                <w:szCs w:val="20"/>
              </w:rPr>
              <w:t>Colang plus YAML and Python actions</w:t>
            </w:r>
          </w:p>
        </w:tc>
        <w:tc>
          <w:tcPr>
            <w:tcW w:type="dxa" w:w="1080"/>
            <w:vAlign w:val="center"/>
          </w:tcPr>
          <w:p>
            <w:pPr>
              <w:spacing w:after="20"/>
            </w:pPr>
            <w:r>
              <w:rPr>
                <w:sz w:val="20"/>
                <w:szCs w:val="20"/>
              </w:rPr>
              <w:t>—</w:t>
            </w:r>
          </w:p>
        </w:tc>
        <w:tc>
          <w:tcPr>
            <w:tcW w:type="dxa" w:w="1080"/>
            <w:vAlign w:val="center"/>
          </w:tcPr>
          <w:p>
            <w:pPr>
              <w:spacing w:after="20"/>
            </w:pPr>
            <w:r>
              <w:rPr>
                <w:sz w:val="20"/>
                <w:szCs w:val="20"/>
              </w:rPr>
              <w:t>—</w:t>
            </w:r>
          </w:p>
        </w:tc>
        <w:tc>
          <w:tcPr>
            <w:tcW w:type="dxa" w:w="1080"/>
            <w:vAlign w:val="center"/>
          </w:tcPr>
          <w:p>
            <w:pPr>
              <w:spacing w:after="20"/>
            </w:pPr>
            <w:r>
              <w:rPr>
                <w:sz w:val="20"/>
                <w:szCs w:val="20"/>
              </w:rPr>
              <w:t>P</w:t>
            </w:r>
          </w:p>
        </w:tc>
        <w:tc>
          <w:tcPr>
            <w:tcW w:type="dxa" w:w="1080"/>
            <w:vAlign w:val="center"/>
          </w:tcPr>
          <w:p>
            <w:pPr>
              <w:spacing w:after="20"/>
            </w:pPr>
            <w:r>
              <w:rPr>
                <w:sz w:val="20"/>
                <w:szCs w:val="20"/>
              </w:rPr>
              <w:t>—</w:t>
            </w:r>
          </w:p>
        </w:tc>
        <w:tc>
          <w:tcPr>
            <w:tcW w:type="dxa" w:w="1080"/>
            <w:vAlign w:val="center"/>
          </w:tcPr>
          <w:p>
            <w:pPr>
              <w:spacing w:after="20"/>
            </w:pPr>
            <w:r>
              <w:rPr>
                <w:sz w:val="20"/>
                <w:szCs w:val="20"/>
              </w:rPr>
              <w:t>P</w:t>
            </w:r>
          </w:p>
        </w:tc>
        <w:tc>
          <w:tcPr>
            <w:tcW w:type="dxa" w:w="1080"/>
            <w:vAlign w:val="center"/>
          </w:tcPr>
          <w:p>
            <w:pPr>
              <w:spacing w:after="20"/>
            </w:pPr>
            <w:r>
              <w:rPr>
                <w:sz w:val="20"/>
                <w:szCs w:val="20"/>
              </w:rPr>
              <w:t>—</w:t>
            </w:r>
          </w:p>
        </w:tc>
        <w:tc>
          <w:tcPr>
            <w:tcW w:type="dxa" w:w="1080"/>
            <w:vAlign w:val="center"/>
          </w:tcPr>
          <w:p>
            <w:pPr>
              <w:spacing w:after="20"/>
            </w:pPr>
            <w:r>
              <w:rPr>
                <w:sz w:val="20"/>
                <w:szCs w:val="20"/>
              </w:rPr>
              <w:t>S</w:t>
            </w:r>
          </w:p>
        </w:tc>
        <w:tc>
          <w:tcPr>
            <w:tcW w:type="dxa" w:w="1080"/>
            <w:vAlign w:val="center"/>
          </w:tcPr>
          <w:p>
            <w:pPr>
              <w:spacing w:after="20"/>
            </w:pPr>
            <w:r>
              <w:rPr>
                <w:sz w:val="20"/>
                <w:szCs w:val="20"/>
              </w:rPr>
              <w:t>—</w:t>
            </w:r>
          </w:p>
        </w:tc>
        <w:tc>
          <w:tcPr>
            <w:tcW w:type="dxa" w:w="1080"/>
            <w:vAlign w:val="center"/>
          </w:tcPr>
          <w:p>
            <w:pPr>
              <w:spacing w:after="20"/>
            </w:pPr>
            <w:r>
              <w:rPr>
                <w:sz w:val="20"/>
                <w:szCs w:val="20"/>
              </w:rPr>
              <w:t>P</w:t>
            </w:r>
          </w:p>
        </w:tc>
        <w:tc>
          <w:tcPr>
            <w:tcW w:type="dxa" w:w="1080"/>
            <w:vAlign w:val="center"/>
          </w:tcPr>
          <w:p>
            <w:pPr>
              <w:spacing w:after="20"/>
            </w:pPr>
            <w:r>
              <w:rPr>
                <w:sz w:val="20"/>
                <w:szCs w:val="20"/>
              </w:rPr>
              <w:t>Colang is specialized for conversational/event rails</w:t>
            </w:r>
          </w:p>
        </w:tc>
      </w:tr>
      <w:tr>
        <w:tc>
          <w:tcPr>
            <w:tcW w:type="dxa" w:w="1080"/>
            <w:vAlign w:val="center"/>
          </w:tcPr>
          <w:p>
            <w:pPr>
              <w:spacing w:after="20"/>
            </w:pPr>
            <w:hyperlink r:id="rId31">
              <w:r>
                <w:rPr>
                  <w:color w:val="0563C1"/>
                  <w:u w:val="single"/>
                  <w:sz w:val="20"/>
                  <w:szCs w:val="20"/>
                </w:rPr>
                <w:t>Phoenix</w:t>
              </w:r>
            </w:hyperlink>
            <w:r>
              <w:rPr>
                <w:sz w:val="20"/>
                <w:szCs w:val="20"/>
              </w:rPr>
              <w:t xml:space="preserve">, </w:t>
            </w:r>
            <w:hyperlink r:id="rId32">
              <w:r>
                <w:rPr>
                  <w:color w:val="0563C1"/>
                  <w:u w:val="single"/>
                  <w:sz w:val="20"/>
                  <w:szCs w:val="20"/>
                </w:rPr>
                <w:t>AgentOps</w:t>
              </w:r>
            </w:hyperlink>
            <w:r>
              <w:rPr>
                <w:sz w:val="20"/>
                <w:szCs w:val="20"/>
              </w:rPr>
              <w:t xml:space="preserve">, </w:t>
            </w:r>
            <w:hyperlink r:id="rId33">
              <w:r>
                <w:rPr>
                  <w:color w:val="0563C1"/>
                  <w:u w:val="single"/>
                  <w:sz w:val="20"/>
                  <w:szCs w:val="20"/>
                </w:rPr>
                <w:t>LangSmith</w:t>
              </w:r>
            </w:hyperlink>
          </w:p>
        </w:tc>
        <w:tc>
          <w:tcPr>
            <w:tcW w:type="dxa" w:w="1080"/>
            <w:vAlign w:val="center"/>
          </w:tcPr>
          <w:p>
            <w:pPr>
              <w:spacing w:after="20"/>
            </w:pPr>
            <w:r>
              <w:rPr>
                <w:sz w:val="20"/>
                <w:szCs w:val="20"/>
              </w:rPr>
              <w:t>Tracing and evaluation</w:t>
            </w:r>
          </w:p>
        </w:tc>
        <w:tc>
          <w:tcPr>
            <w:tcW w:type="dxa" w:w="1080"/>
            <w:vAlign w:val="center"/>
          </w:tcPr>
          <w:p>
            <w:pPr>
              <w:spacing w:after="20"/>
            </w:pPr>
            <w:r>
              <w:rPr>
                <w:sz w:val="20"/>
                <w:szCs w:val="20"/>
              </w:rPr>
              <w:t>Mixed</w:t>
            </w:r>
          </w:p>
        </w:tc>
        <w:tc>
          <w:tcPr>
            <w:tcW w:type="dxa" w:w="1080"/>
            <w:vAlign w:val="center"/>
          </w:tcPr>
          <w:p>
            <w:pPr>
              <w:spacing w:after="20"/>
            </w:pPr>
            <w:r>
              <w:rPr>
                <w:sz w:val="20"/>
                <w:szCs w:val="20"/>
              </w:rPr>
              <w:t>Python/JS evaluators; UI automation rules</w:t>
            </w:r>
          </w:p>
        </w:tc>
        <w:tc>
          <w:tcPr>
            <w:tcW w:type="dxa" w:w="1080"/>
            <w:vAlign w:val="center"/>
          </w:tcPr>
          <w:p>
            <w:pPr>
              <w:spacing w:after="20"/>
            </w:pPr>
            <w:r>
              <w:rPr>
                <w:sz w:val="20"/>
                <w:szCs w:val="20"/>
              </w:rPr>
              <w:t>—</w:t>
            </w:r>
          </w:p>
        </w:tc>
        <w:tc>
          <w:tcPr>
            <w:tcW w:type="dxa" w:w="1080"/>
            <w:vAlign w:val="center"/>
          </w:tcPr>
          <w:p>
            <w:pPr>
              <w:spacing w:after="20"/>
            </w:pPr>
            <w:r>
              <w:rPr>
                <w:sz w:val="20"/>
                <w:szCs w:val="20"/>
              </w:rPr>
              <w:t>—</w:t>
            </w:r>
          </w:p>
        </w:tc>
        <w:tc>
          <w:tcPr>
            <w:tcW w:type="dxa" w:w="1080"/>
            <w:vAlign w:val="center"/>
          </w:tcPr>
          <w:p>
            <w:pPr>
              <w:spacing w:after="20"/>
            </w:pPr>
            <w:r>
              <w:rPr>
                <w:sz w:val="20"/>
                <w:szCs w:val="20"/>
              </w:rPr>
              <w:t>—</w:t>
            </w:r>
          </w:p>
        </w:tc>
        <w:tc>
          <w:tcPr>
            <w:tcW w:type="dxa" w:w="1080"/>
            <w:vAlign w:val="center"/>
          </w:tcPr>
          <w:p>
            <w:pPr>
              <w:spacing w:after="20"/>
            </w:pPr>
            <w:r>
              <w:rPr>
                <w:sz w:val="20"/>
                <w:szCs w:val="20"/>
              </w:rPr>
              <w:t>—</w:t>
            </w:r>
          </w:p>
        </w:tc>
        <w:tc>
          <w:tcPr>
            <w:tcW w:type="dxa" w:w="1080"/>
            <w:vAlign w:val="center"/>
          </w:tcPr>
          <w:p>
            <w:pPr>
              <w:spacing w:after="20"/>
            </w:pPr>
            <w:r>
              <w:rPr>
                <w:sz w:val="20"/>
                <w:szCs w:val="20"/>
              </w:rPr>
              <w:t>S</w:t>
            </w:r>
          </w:p>
        </w:tc>
        <w:tc>
          <w:tcPr>
            <w:tcW w:type="dxa" w:w="1080"/>
            <w:vAlign w:val="center"/>
          </w:tcPr>
          <w:p>
            <w:pPr>
              <w:spacing w:after="20"/>
            </w:pPr>
            <w:r>
              <w:rPr>
                <w:sz w:val="20"/>
                <w:szCs w:val="20"/>
              </w:rPr>
              <w:t>—</w:t>
            </w:r>
          </w:p>
        </w:tc>
        <w:tc>
          <w:tcPr>
            <w:tcW w:type="dxa" w:w="1080"/>
            <w:vAlign w:val="center"/>
          </w:tcPr>
          <w:p>
            <w:pPr>
              <w:spacing w:after="20"/>
            </w:pPr>
            <w:r>
              <w:rPr>
                <w:sz w:val="20"/>
                <w:szCs w:val="20"/>
              </w:rPr>
              <w:t>S</w:t>
            </w:r>
          </w:p>
        </w:tc>
        <w:tc>
          <w:tcPr>
            <w:tcW w:type="dxa" w:w="1080"/>
            <w:vAlign w:val="center"/>
          </w:tcPr>
          <w:p>
            <w:pPr>
              <w:spacing w:after="20"/>
            </w:pPr>
            <w:r>
              <w:rPr>
                <w:sz w:val="20"/>
                <w:szCs w:val="20"/>
              </w:rPr>
              <w:t>P</w:t>
            </w:r>
          </w:p>
        </w:tc>
        <w:tc>
          <w:tcPr>
            <w:tcW w:type="dxa" w:w="1080"/>
            <w:vAlign w:val="center"/>
          </w:tcPr>
          <w:p>
            <w:pPr>
              <w:spacing w:after="20"/>
            </w:pPr>
            <w:r>
              <w:rPr>
                <w:sz w:val="20"/>
                <w:szCs w:val="20"/>
              </w:rPr>
              <w:t>P</w:t>
            </w:r>
          </w:p>
        </w:tc>
        <w:tc>
          <w:tcPr>
            <w:tcW w:type="dxa" w:w="1080"/>
            <w:vAlign w:val="center"/>
          </w:tcPr>
          <w:p>
            <w:pPr>
              <w:spacing w:after="20"/>
            </w:pPr>
            <w:r>
              <w:rPr>
                <w:sz w:val="20"/>
                <w:szCs w:val="20"/>
              </w:rPr>
              <w:t>Mostly evaluation/telemetry, not enforcement policy</w:t>
            </w:r>
          </w:p>
        </w:tc>
      </w:tr>
    </w:tbl>
    <w:p/>
    <w:p>
      <w:pPr>
        <w:pStyle w:val="Heading3"/>
      </w:pPr>
      <w:r>
        <w:t>2.3 What this means</w:t>
      </w:r>
    </w:p>
    <w:p>
      <w:r>
        <w:t xml:space="preserve">The on-premise result supports the user's hypothesis. Across 23 comparison rows, seven have verified full customer-managed deployment, seven are partial/hybrid, eight are vendor-hosted only, and one grouped row is mixed. The major cloud-native agent platforms are predominantly </w:t>
      </w:r>
      <w:r>
        <w:rPr>
          <w:b/>
        </w:rPr>
        <w:t>No</w:t>
      </w:r>
      <w:r>
        <w:t>; IBM watsonx.governance is the clearest full-software exception. Open-source middleware and gateway projects—Microsoft AGT, ToolHive, Cerbos, Galileo Agent Control, and NeMo Guardrails—have the strongest self-deployment posture. A local connector, enforcement node, private-cloud tenant, or customer-VPC deployment should not be confused with a fully customer-managed governance control plane.</w:t>
      </w:r>
    </w:p>
    <w:p>
      <w:r>
        <w:t>Three distinctions matter for CAF:</w:t>
      </w:r>
    </w:p>
    <w:p>
      <w:pPr>
        <w:pStyle w:val="ListNumber"/>
      </w:pPr>
      <w:r>
        <w:rPr>
          <w:b/>
        </w:rPr>
        <w:t>Observability is not governance.</w:t>
      </w:r>
      <w:r>
        <w:t xml:space="preserve"> A trace explains what instrumentation saw; it does not prevent an unauthorized action.</w:t>
      </w:r>
    </w:p>
    <w:p>
      <w:pPr>
        <w:pStyle w:val="ListNumber"/>
      </w:pPr>
      <w:r>
        <w:rPr>
          <w:b/>
        </w:rPr>
        <w:t>Policy is not enforcement.</w:t>
      </w:r>
      <w:r>
        <w:t xml:space="preserve"> An embedded policy library can be bypassed if the agent has another tool, shell, network, or credential path.</w:t>
      </w:r>
    </w:p>
    <w:p>
      <w:pPr>
        <w:pStyle w:val="ListNumber"/>
      </w:pPr>
      <w:r>
        <w:rPr>
          <w:b/>
        </w:rPr>
        <w:t>Agent governance is not host security.</w:t>
      </w:r>
      <w:r>
        <w:t xml:space="preserve"> Application-level context improves decisions and evidence, but host controls still contain actual processes, files, networks, devices, and jobs.</w:t>
      </w:r>
    </w:p>
    <w:p>
      <w:pPr>
        <w:pStyle w:val="Heading2"/>
      </w:pPr>
      <w:r>
        <w:t>3. Generic governance toolkits and partial components</w:t>
      </w:r>
    </w:p>
    <w:p>
      <w:r>
        <w:t>Generic infrastructure is often more mature than agent-branded products. It should be reused rather than recreated, but it does not automatically carry agent purpose, delegation, or lifecycle context.</w:t>
      </w:r>
    </w:p>
    <w:p>
      <w:pPr>
        <w:pStyle w:val="Heading3"/>
      </w:pPr>
      <w:r>
        <w:t>3.1 Reusable component map</w:t>
      </w:r>
    </w:p>
    <w:tbl>
      <w:tblPr>
        <w:tblStyle w:val="TableGrid"/>
        <w:tblW w:type="auto" w:w="0"/>
        <w:jc w:val="center"/>
        <w:tblLayout w:type="autofit"/>
        <w:tblLook w:firstColumn="1" w:firstRow="1" w:lastColumn="0" w:lastRow="0" w:noHBand="0" w:noVBand="1" w:val="04A0"/>
      </w:tblPr>
      <w:tblGrid>
        <w:gridCol w:w="3780"/>
        <w:gridCol w:w="3780"/>
        <w:gridCol w:w="3780"/>
        <w:gridCol w:w="3780"/>
      </w:tblGrid>
      <w:tr>
        <w:trPr>
          <w:tblHeader w:val="true"/>
        </w:trPr>
        <w:tc>
          <w:tcPr>
            <w:tcW w:type="dxa" w:w="3780"/>
            <w:vAlign w:val="center"/>
            <w:shd w:fill="D9EAF7"/>
          </w:tcPr>
          <w:p>
            <w:pPr>
              <w:spacing w:after="20"/>
            </w:pPr>
            <w:r>
              <w:rPr>
                <w:b/>
                <w:sz w:val="20"/>
                <w:szCs w:val="20"/>
              </w:rPr>
              <w:t>Need</w:t>
            </w:r>
          </w:p>
        </w:tc>
        <w:tc>
          <w:tcPr>
            <w:tcW w:type="dxa" w:w="3780"/>
            <w:vAlign w:val="center"/>
            <w:shd w:fill="D9EAF7"/>
          </w:tcPr>
          <w:p>
            <w:pPr>
              <w:spacing w:after="20"/>
            </w:pPr>
            <w:r>
              <w:rPr>
                <w:b/>
                <w:sz w:val="20"/>
                <w:szCs w:val="20"/>
              </w:rPr>
              <w:t>Strong reusable options</w:t>
            </w:r>
          </w:p>
        </w:tc>
        <w:tc>
          <w:tcPr>
            <w:tcW w:type="dxa" w:w="3780"/>
            <w:vAlign w:val="center"/>
            <w:shd w:fill="D9EAF7"/>
          </w:tcPr>
          <w:p>
            <w:pPr>
              <w:spacing w:after="20"/>
            </w:pPr>
            <w:r>
              <w:rPr>
                <w:b/>
                <w:sz w:val="20"/>
                <w:szCs w:val="20"/>
              </w:rPr>
              <w:t>What they provide</w:t>
            </w:r>
          </w:p>
        </w:tc>
        <w:tc>
          <w:tcPr>
            <w:tcW w:type="dxa" w:w="3780"/>
            <w:vAlign w:val="center"/>
            <w:shd w:fill="D9EAF7"/>
          </w:tcPr>
          <w:p>
            <w:pPr>
              <w:spacing w:after="20"/>
            </w:pPr>
            <w:r>
              <w:rPr>
                <w:b/>
                <w:sz w:val="20"/>
                <w:szCs w:val="20"/>
              </w:rPr>
              <w:t>What CAF or the host must still provide</w:t>
            </w:r>
          </w:p>
        </w:tc>
      </w:tr>
      <w:tr>
        <w:tc>
          <w:tcPr>
            <w:tcW w:type="dxa" w:w="3780"/>
            <w:vAlign w:val="center"/>
          </w:tcPr>
          <w:p>
            <w:pPr>
              <w:spacing w:after="20"/>
            </w:pPr>
            <w:r>
              <w:rPr>
                <w:sz w:val="20"/>
                <w:szCs w:val="20"/>
              </w:rPr>
              <w:t>Contextual policy</w:t>
            </w:r>
          </w:p>
        </w:tc>
        <w:tc>
          <w:tcPr>
            <w:tcW w:type="dxa" w:w="3780"/>
            <w:vAlign w:val="center"/>
          </w:tcPr>
          <w:p>
            <w:pPr>
              <w:spacing w:after="20"/>
            </w:pPr>
            <w:hyperlink r:id="rId34">
              <w:r>
                <w:rPr>
                  <w:color w:val="0563C1"/>
                  <w:u w:val="single"/>
                  <w:sz w:val="20"/>
                  <w:szCs w:val="20"/>
                </w:rPr>
                <w:t>OPA</w:t>
              </w:r>
            </w:hyperlink>
            <w:r>
              <w:rPr>
                <w:sz w:val="20"/>
                <w:szCs w:val="20"/>
              </w:rPr>
              <w:t xml:space="preserve">, </w:t>
            </w:r>
            <w:hyperlink r:id="rId35">
              <w:r>
                <w:rPr>
                  <w:color w:val="0563C1"/>
                  <w:u w:val="single"/>
                  <w:sz w:val="20"/>
                  <w:szCs w:val="20"/>
                </w:rPr>
                <w:t>Cedar</w:t>
              </w:r>
            </w:hyperlink>
          </w:p>
        </w:tc>
        <w:tc>
          <w:tcPr>
            <w:tcW w:type="dxa" w:w="3780"/>
            <w:vAlign w:val="center"/>
          </w:tcPr>
          <w:p>
            <w:pPr>
              <w:spacing w:after="20"/>
            </w:pPr>
            <w:r>
              <w:rPr>
                <w:sz w:val="20"/>
                <w:szCs w:val="20"/>
              </w:rPr>
              <w:t>Deterministic decisions over structured context</w:t>
            </w:r>
          </w:p>
        </w:tc>
        <w:tc>
          <w:tcPr>
            <w:tcW w:type="dxa" w:w="3780"/>
            <w:vAlign w:val="center"/>
          </w:tcPr>
          <w:p>
            <w:pPr>
              <w:spacing w:after="20"/>
            </w:pPr>
            <w:r>
              <w:rPr>
                <w:sz w:val="20"/>
                <w:szCs w:val="20"/>
              </w:rPr>
              <w:t>Trusted inputs, policy administration, non-bypassable PEP, evidence</w:t>
            </w:r>
          </w:p>
        </w:tc>
      </w:tr>
      <w:tr>
        <w:tc>
          <w:tcPr>
            <w:tcW w:type="dxa" w:w="3780"/>
            <w:vAlign w:val="center"/>
          </w:tcPr>
          <w:p>
            <w:pPr>
              <w:spacing w:after="20"/>
            </w:pPr>
            <w:r>
              <w:rPr>
                <w:sz w:val="20"/>
                <w:szCs w:val="20"/>
              </w:rPr>
              <w:t>Relationship authorization</w:t>
            </w:r>
          </w:p>
        </w:tc>
        <w:tc>
          <w:tcPr>
            <w:tcW w:type="dxa" w:w="3780"/>
            <w:vAlign w:val="center"/>
          </w:tcPr>
          <w:p>
            <w:pPr>
              <w:spacing w:after="20"/>
            </w:pPr>
            <w:hyperlink r:id="rId36">
              <w:r>
                <w:rPr>
                  <w:color w:val="0563C1"/>
                  <w:u w:val="single"/>
                  <w:sz w:val="20"/>
                  <w:szCs w:val="20"/>
                </w:rPr>
                <w:t>OpenFGA</w:t>
              </w:r>
            </w:hyperlink>
            <w:r>
              <w:rPr>
                <w:sz w:val="20"/>
                <w:szCs w:val="20"/>
              </w:rPr>
              <w:t xml:space="preserve">, </w:t>
            </w:r>
            <w:hyperlink r:id="rId37">
              <w:r>
                <w:rPr>
                  <w:color w:val="0563C1"/>
                  <w:u w:val="single"/>
                  <w:sz w:val="20"/>
                  <w:szCs w:val="20"/>
                </w:rPr>
                <w:t>SpiceDB</w:t>
              </w:r>
            </w:hyperlink>
          </w:p>
        </w:tc>
        <w:tc>
          <w:tcPr>
            <w:tcW w:type="dxa" w:w="3780"/>
            <w:vAlign w:val="center"/>
          </w:tcPr>
          <w:p>
            <w:pPr>
              <w:spacing w:after="20"/>
            </w:pPr>
            <w:r>
              <w:rPr>
                <w:sz w:val="20"/>
                <w:szCs w:val="20"/>
              </w:rPr>
              <w:t>Fine-grained graph permissions</w:t>
            </w:r>
          </w:p>
        </w:tc>
        <w:tc>
          <w:tcPr>
            <w:tcW w:type="dxa" w:w="3780"/>
            <w:vAlign w:val="center"/>
          </w:tcPr>
          <w:p>
            <w:pPr>
              <w:spacing w:after="20"/>
            </w:pPr>
            <w:r>
              <w:rPr>
                <w:sz w:val="20"/>
                <w:szCs w:val="20"/>
              </w:rPr>
              <w:t>Authentication, purpose/risk policy, enforcement, approval</w:t>
            </w:r>
          </w:p>
        </w:tc>
      </w:tr>
      <w:tr>
        <w:tc>
          <w:tcPr>
            <w:tcW w:type="dxa" w:w="3780"/>
            <w:vAlign w:val="center"/>
          </w:tcPr>
          <w:p>
            <w:pPr>
              <w:spacing w:after="20"/>
            </w:pPr>
            <w:r>
              <w:rPr>
                <w:sz w:val="20"/>
                <w:szCs w:val="20"/>
              </w:rPr>
              <w:t>Human identity</w:t>
            </w:r>
          </w:p>
        </w:tc>
        <w:tc>
          <w:tcPr>
            <w:tcW w:type="dxa" w:w="3780"/>
            <w:vAlign w:val="center"/>
          </w:tcPr>
          <w:p>
            <w:pPr>
              <w:spacing w:after="20"/>
            </w:pPr>
            <w:r>
              <w:rPr>
                <w:sz w:val="20"/>
                <w:szCs w:val="20"/>
              </w:rPr>
              <w:t xml:space="preserve">Existing enterprise IdP; </w:t>
            </w:r>
            <w:hyperlink r:id="rId38">
              <w:r>
                <w:rPr>
                  <w:color w:val="0563C1"/>
                  <w:u w:val="single"/>
                  <w:sz w:val="20"/>
                  <w:szCs w:val="20"/>
                </w:rPr>
                <w:t>Keycloak</w:t>
              </w:r>
            </w:hyperlink>
          </w:p>
        </w:tc>
        <w:tc>
          <w:tcPr>
            <w:tcW w:type="dxa" w:w="3780"/>
            <w:vAlign w:val="center"/>
          </w:tcPr>
          <w:p>
            <w:pPr>
              <w:spacing w:after="20"/>
            </w:pPr>
            <w:r>
              <w:rPr>
                <w:sz w:val="20"/>
                <w:szCs w:val="20"/>
              </w:rPr>
              <w:t>OIDC/OAuth/SAML, federation, sessions</w:t>
            </w:r>
          </w:p>
        </w:tc>
        <w:tc>
          <w:tcPr>
            <w:tcW w:type="dxa" w:w="3780"/>
            <w:vAlign w:val="center"/>
          </w:tcPr>
          <w:p>
            <w:pPr>
              <w:spacing w:after="20"/>
            </w:pPr>
            <w:r>
              <w:rPr>
                <w:sz w:val="20"/>
                <w:szCs w:val="20"/>
              </w:rPr>
              <w:t>Workload attestation and explicit delegation to an agent task</w:t>
            </w:r>
          </w:p>
        </w:tc>
      </w:tr>
      <w:tr>
        <w:tc>
          <w:tcPr>
            <w:tcW w:type="dxa" w:w="3780"/>
            <w:vAlign w:val="center"/>
          </w:tcPr>
          <w:p>
            <w:pPr>
              <w:spacing w:after="20"/>
            </w:pPr>
            <w:r>
              <w:rPr>
                <w:sz w:val="20"/>
                <w:szCs w:val="20"/>
              </w:rPr>
              <w:t>Workload identity</w:t>
            </w:r>
          </w:p>
        </w:tc>
        <w:tc>
          <w:tcPr>
            <w:tcW w:type="dxa" w:w="3780"/>
            <w:vAlign w:val="center"/>
          </w:tcPr>
          <w:p>
            <w:pPr>
              <w:spacing w:after="20"/>
            </w:pPr>
            <w:hyperlink r:id="rId39">
              <w:r>
                <w:rPr>
                  <w:color w:val="0563C1"/>
                  <w:u w:val="single"/>
                  <w:sz w:val="20"/>
                  <w:szCs w:val="20"/>
                </w:rPr>
                <w:t>SPIFFE/SPIRE</w:t>
              </w:r>
            </w:hyperlink>
          </w:p>
        </w:tc>
        <w:tc>
          <w:tcPr>
            <w:tcW w:type="dxa" w:w="3780"/>
            <w:vAlign w:val="center"/>
          </w:tcPr>
          <w:p>
            <w:pPr>
              <w:spacing w:after="20"/>
            </w:pPr>
            <w:r>
              <w:rPr>
                <w:sz w:val="20"/>
                <w:szCs w:val="20"/>
              </w:rPr>
              <w:t>Short-lived attested workload credentials</w:t>
            </w:r>
          </w:p>
        </w:tc>
        <w:tc>
          <w:tcPr>
            <w:tcW w:type="dxa" w:w="3780"/>
            <w:vAlign w:val="center"/>
          </w:tcPr>
          <w:p>
            <w:pPr>
              <w:spacing w:after="20"/>
            </w:pPr>
            <w:r>
              <w:rPr>
                <w:sz w:val="20"/>
                <w:szCs w:val="20"/>
              </w:rPr>
              <w:t>Human sponsor, task mandate, resource/action authorization</w:t>
            </w:r>
          </w:p>
        </w:tc>
      </w:tr>
      <w:tr>
        <w:tc>
          <w:tcPr>
            <w:tcW w:type="dxa" w:w="3780"/>
            <w:vAlign w:val="center"/>
          </w:tcPr>
          <w:p>
            <w:pPr>
              <w:spacing w:after="20"/>
            </w:pPr>
            <w:r>
              <w:rPr>
                <w:sz w:val="20"/>
                <w:szCs w:val="20"/>
              </w:rPr>
              <w:t>Artifact trust</w:t>
            </w:r>
          </w:p>
        </w:tc>
        <w:tc>
          <w:tcPr>
            <w:tcW w:type="dxa" w:w="3780"/>
            <w:vAlign w:val="center"/>
          </w:tcPr>
          <w:p>
            <w:pPr>
              <w:spacing w:after="20"/>
            </w:pPr>
            <w:hyperlink r:id="rId40">
              <w:r>
                <w:rPr>
                  <w:color w:val="0563C1"/>
                  <w:u w:val="single"/>
                  <w:sz w:val="20"/>
                  <w:szCs w:val="20"/>
                </w:rPr>
                <w:t>Sigstore</w:t>
              </w:r>
            </w:hyperlink>
            <w:r>
              <w:rPr>
                <w:sz w:val="20"/>
                <w:szCs w:val="20"/>
              </w:rPr>
              <w:t xml:space="preserve">, </w:t>
            </w:r>
            <w:hyperlink r:id="rId41">
              <w:r>
                <w:rPr>
                  <w:color w:val="0563C1"/>
                  <w:u w:val="single"/>
                  <w:sz w:val="20"/>
                  <w:szCs w:val="20"/>
                </w:rPr>
                <w:t>in-toto</w:t>
              </w:r>
            </w:hyperlink>
            <w:r>
              <w:rPr>
                <w:sz w:val="20"/>
                <w:szCs w:val="20"/>
              </w:rPr>
              <w:t xml:space="preserve">, </w:t>
            </w:r>
            <w:hyperlink r:id="rId42">
              <w:r>
                <w:rPr>
                  <w:color w:val="0563C1"/>
                  <w:u w:val="single"/>
                  <w:sz w:val="20"/>
                  <w:szCs w:val="20"/>
                </w:rPr>
                <w:t>SLSA</w:t>
              </w:r>
            </w:hyperlink>
          </w:p>
        </w:tc>
        <w:tc>
          <w:tcPr>
            <w:tcW w:type="dxa" w:w="3780"/>
            <w:vAlign w:val="center"/>
          </w:tcPr>
          <w:p>
            <w:pPr>
              <w:spacing w:after="20"/>
            </w:pPr>
            <w:r>
              <w:rPr>
                <w:sz w:val="20"/>
                <w:szCs w:val="20"/>
              </w:rPr>
              <w:t>Signatures, provenance, supply-chain attestations</w:t>
            </w:r>
          </w:p>
        </w:tc>
        <w:tc>
          <w:tcPr>
            <w:tcW w:type="dxa" w:w="3780"/>
            <w:vAlign w:val="center"/>
          </w:tcPr>
          <w:p>
            <w:pPr>
              <w:spacing w:after="20"/>
            </w:pPr>
            <w:r>
              <w:rPr>
                <w:sz w:val="20"/>
                <w:szCs w:val="20"/>
              </w:rPr>
              <w:t>Admission policy and runtime binding to the admitted digest</w:t>
            </w:r>
          </w:p>
        </w:tc>
      </w:tr>
      <w:tr>
        <w:tc>
          <w:tcPr>
            <w:tcW w:type="dxa" w:w="3780"/>
            <w:vAlign w:val="center"/>
          </w:tcPr>
          <w:p>
            <w:pPr>
              <w:spacing w:after="20"/>
            </w:pPr>
            <w:r>
              <w:rPr>
                <w:sz w:val="20"/>
                <w:szCs w:val="20"/>
              </w:rPr>
              <w:t>Deployment admission</w:t>
            </w:r>
          </w:p>
        </w:tc>
        <w:tc>
          <w:tcPr>
            <w:tcW w:type="dxa" w:w="3780"/>
            <w:vAlign w:val="center"/>
          </w:tcPr>
          <w:p>
            <w:pPr>
              <w:spacing w:after="20"/>
            </w:pPr>
            <w:hyperlink r:id="rId43">
              <w:r>
                <w:rPr>
                  <w:color w:val="0563C1"/>
                  <w:u w:val="single"/>
                  <w:sz w:val="20"/>
                  <w:szCs w:val="20"/>
                </w:rPr>
                <w:t>Kyverno</w:t>
              </w:r>
            </w:hyperlink>
            <w:r>
              <w:rPr>
                <w:sz w:val="20"/>
                <w:szCs w:val="20"/>
              </w:rPr>
              <w:t xml:space="preserve">, </w:t>
            </w:r>
            <w:hyperlink r:id="rId44">
              <w:r>
                <w:rPr>
                  <w:color w:val="0563C1"/>
                  <w:u w:val="single"/>
                  <w:sz w:val="20"/>
                  <w:szCs w:val="20"/>
                </w:rPr>
                <w:t>Gatekeeper</w:t>
              </w:r>
            </w:hyperlink>
          </w:p>
        </w:tc>
        <w:tc>
          <w:tcPr>
            <w:tcW w:type="dxa" w:w="3780"/>
            <w:vAlign w:val="center"/>
          </w:tcPr>
          <w:p>
            <w:pPr>
              <w:spacing w:after="20"/>
            </w:pPr>
            <w:r>
              <w:rPr>
                <w:sz w:val="20"/>
                <w:szCs w:val="20"/>
              </w:rPr>
              <w:t>Kubernetes validation, mutation, audit</w:t>
            </w:r>
          </w:p>
        </w:tc>
        <w:tc>
          <w:tcPr>
            <w:tcW w:type="dxa" w:w="3780"/>
            <w:vAlign w:val="center"/>
          </w:tcPr>
          <w:p>
            <w:pPr>
              <w:spacing w:after="20"/>
            </w:pPr>
            <w:r>
              <w:rPr>
                <w:sz w:val="20"/>
                <w:szCs w:val="20"/>
              </w:rPr>
              <w:t>Non-Kubernetes launch paths and runtime tool/API calls</w:t>
            </w:r>
          </w:p>
        </w:tc>
      </w:tr>
      <w:tr>
        <w:tc>
          <w:tcPr>
            <w:tcW w:type="dxa" w:w="3780"/>
            <w:vAlign w:val="center"/>
          </w:tcPr>
          <w:p>
            <w:pPr>
              <w:spacing w:after="20"/>
            </w:pPr>
            <w:r>
              <w:rPr>
                <w:sz w:val="20"/>
                <w:szCs w:val="20"/>
              </w:rPr>
              <w:t>Secrets and credentials</w:t>
            </w:r>
          </w:p>
        </w:tc>
        <w:tc>
          <w:tcPr>
            <w:tcW w:type="dxa" w:w="3780"/>
            <w:vAlign w:val="center"/>
          </w:tcPr>
          <w:p>
            <w:pPr>
              <w:spacing w:after="20"/>
            </w:pPr>
            <w:hyperlink r:id="rId45">
              <w:r>
                <w:rPr>
                  <w:color w:val="0563C1"/>
                  <w:u w:val="single"/>
                  <w:sz w:val="20"/>
                  <w:szCs w:val="20"/>
                </w:rPr>
                <w:t>OpenBao</w:t>
              </w:r>
            </w:hyperlink>
            <w:r>
              <w:rPr>
                <w:sz w:val="20"/>
                <w:szCs w:val="20"/>
              </w:rPr>
              <w:t xml:space="preserve">, </w:t>
            </w:r>
            <w:hyperlink r:id="rId46">
              <w:r>
                <w:rPr>
                  <w:color w:val="0563C1"/>
                  <w:u w:val="single"/>
                  <w:sz w:val="20"/>
                  <w:szCs w:val="20"/>
                </w:rPr>
                <w:t>Infisical</w:t>
              </w:r>
            </w:hyperlink>
            <w:r>
              <w:rPr>
                <w:sz w:val="20"/>
                <w:szCs w:val="20"/>
              </w:rPr>
              <w:t>, cloud secret managers</w:t>
            </w:r>
          </w:p>
        </w:tc>
        <w:tc>
          <w:tcPr>
            <w:tcW w:type="dxa" w:w="3780"/>
            <w:vAlign w:val="center"/>
          </w:tcPr>
          <w:p>
            <w:pPr>
              <w:spacing w:after="20"/>
            </w:pPr>
            <w:r>
              <w:rPr>
                <w:sz w:val="20"/>
                <w:szCs w:val="20"/>
              </w:rPr>
              <w:t>Dynamic credentials, leases, revocation, PKI</w:t>
            </w:r>
          </w:p>
        </w:tc>
        <w:tc>
          <w:tcPr>
            <w:tcW w:type="dxa" w:w="3780"/>
            <w:vAlign w:val="center"/>
          </w:tcPr>
          <w:p>
            <w:pPr>
              <w:spacing w:after="20"/>
            </w:pPr>
            <w:r>
              <w:rPr>
                <w:sz w:val="20"/>
                <w:szCs w:val="20"/>
              </w:rPr>
              <w:t>Task-specific authorization, delivery isolation, approval semantics</w:t>
            </w:r>
          </w:p>
        </w:tc>
      </w:tr>
      <w:tr>
        <w:tc>
          <w:tcPr>
            <w:tcW w:type="dxa" w:w="3780"/>
            <w:vAlign w:val="center"/>
          </w:tcPr>
          <w:p>
            <w:pPr>
              <w:spacing w:after="20"/>
            </w:pPr>
            <w:r>
              <w:rPr>
                <w:sz w:val="20"/>
                <w:szCs w:val="20"/>
              </w:rPr>
              <w:t>Runtime isolation</w:t>
            </w:r>
          </w:p>
        </w:tc>
        <w:tc>
          <w:tcPr>
            <w:tcW w:type="dxa" w:w="3780"/>
            <w:vAlign w:val="center"/>
          </w:tcPr>
          <w:p>
            <w:pPr>
              <w:spacing w:after="20"/>
            </w:pPr>
            <w:hyperlink r:id="rId47">
              <w:r>
                <w:rPr>
                  <w:color w:val="0563C1"/>
                  <w:u w:val="single"/>
                  <w:sz w:val="20"/>
                  <w:szCs w:val="20"/>
                </w:rPr>
                <w:t>gVisor</w:t>
              </w:r>
            </w:hyperlink>
            <w:r>
              <w:rPr>
                <w:sz w:val="20"/>
                <w:szCs w:val="20"/>
              </w:rPr>
              <w:t xml:space="preserve">, </w:t>
            </w:r>
            <w:hyperlink r:id="rId48">
              <w:r>
                <w:rPr>
                  <w:color w:val="0563C1"/>
                  <w:u w:val="single"/>
                  <w:sz w:val="20"/>
                  <w:szCs w:val="20"/>
                </w:rPr>
                <w:t>Kata Containers</w:t>
              </w:r>
            </w:hyperlink>
            <w:r>
              <w:rPr>
                <w:sz w:val="20"/>
                <w:szCs w:val="20"/>
              </w:rPr>
              <w:t xml:space="preserve">, </w:t>
            </w:r>
            <w:hyperlink r:id="rId49">
              <w:r>
                <w:rPr>
                  <w:color w:val="0563C1"/>
                  <w:u w:val="single"/>
                  <w:sz w:val="20"/>
                  <w:szCs w:val="20"/>
                </w:rPr>
                <w:t>Firecracker</w:t>
              </w:r>
            </w:hyperlink>
          </w:p>
        </w:tc>
        <w:tc>
          <w:tcPr>
            <w:tcW w:type="dxa" w:w="3780"/>
            <w:vAlign w:val="center"/>
          </w:tcPr>
          <w:p>
            <w:pPr>
              <w:spacing w:after="20"/>
            </w:pPr>
            <w:r>
              <w:rPr>
                <w:sz w:val="20"/>
                <w:szCs w:val="20"/>
              </w:rPr>
              <w:t>Stronger execution boundaries</w:t>
            </w:r>
          </w:p>
        </w:tc>
        <w:tc>
          <w:tcPr>
            <w:tcW w:type="dxa" w:w="3780"/>
            <w:vAlign w:val="center"/>
          </w:tcPr>
          <w:p>
            <w:pPr>
              <w:spacing w:after="20"/>
            </w:pPr>
            <w:r>
              <w:rPr>
                <w:sz w:val="20"/>
                <w:szCs w:val="20"/>
              </w:rPr>
              <w:t>Business authorization, HPC placement, operational integration</w:t>
            </w:r>
          </w:p>
        </w:tc>
      </w:tr>
      <w:tr>
        <w:tc>
          <w:tcPr>
            <w:tcW w:type="dxa" w:w="3780"/>
            <w:vAlign w:val="center"/>
          </w:tcPr>
          <w:p>
            <w:pPr>
              <w:spacing w:after="20"/>
            </w:pPr>
            <w:r>
              <w:rPr>
                <w:sz w:val="20"/>
                <w:szCs w:val="20"/>
              </w:rPr>
              <w:t>Runtime detection/enforcement</w:t>
            </w:r>
          </w:p>
        </w:tc>
        <w:tc>
          <w:tcPr>
            <w:tcW w:type="dxa" w:w="3780"/>
            <w:vAlign w:val="center"/>
          </w:tcPr>
          <w:p>
            <w:pPr>
              <w:spacing w:after="20"/>
            </w:pPr>
            <w:hyperlink r:id="rId50">
              <w:r>
                <w:rPr>
                  <w:color w:val="0563C1"/>
                  <w:u w:val="single"/>
                  <w:sz w:val="20"/>
                  <w:szCs w:val="20"/>
                </w:rPr>
                <w:t>Falco</w:t>
              </w:r>
            </w:hyperlink>
            <w:r>
              <w:rPr>
                <w:sz w:val="20"/>
                <w:szCs w:val="20"/>
              </w:rPr>
              <w:t xml:space="preserve">, </w:t>
            </w:r>
            <w:hyperlink r:id="rId51">
              <w:r>
                <w:rPr>
                  <w:color w:val="0563C1"/>
                  <w:u w:val="single"/>
                  <w:sz w:val="20"/>
                  <w:szCs w:val="20"/>
                </w:rPr>
                <w:t>Tetragon</w:t>
              </w:r>
            </w:hyperlink>
          </w:p>
        </w:tc>
        <w:tc>
          <w:tcPr>
            <w:tcW w:type="dxa" w:w="3780"/>
            <w:vAlign w:val="center"/>
          </w:tcPr>
          <w:p>
            <w:pPr>
              <w:spacing w:after="20"/>
            </w:pPr>
            <w:r>
              <w:rPr>
                <w:sz w:val="20"/>
                <w:szCs w:val="20"/>
              </w:rPr>
              <w:t>Kernel/runtime visibility and selected enforcement</w:t>
            </w:r>
          </w:p>
        </w:tc>
        <w:tc>
          <w:tcPr>
            <w:tcW w:type="dxa" w:w="3780"/>
            <w:vAlign w:val="center"/>
          </w:tcPr>
          <w:p>
            <w:pPr>
              <w:spacing w:after="20"/>
            </w:pPr>
            <w:r>
              <w:rPr>
                <w:sz w:val="20"/>
                <w:szCs w:val="20"/>
              </w:rPr>
              <w:t>Agent intent and application-level tool semantics</w:t>
            </w:r>
          </w:p>
        </w:tc>
      </w:tr>
      <w:tr>
        <w:tc>
          <w:tcPr>
            <w:tcW w:type="dxa" w:w="3780"/>
            <w:vAlign w:val="center"/>
          </w:tcPr>
          <w:p>
            <w:pPr>
              <w:spacing w:after="20"/>
            </w:pPr>
            <w:r>
              <w:rPr>
                <w:sz w:val="20"/>
                <w:szCs w:val="20"/>
              </w:rPr>
              <w:t>Telemetry</w:t>
            </w:r>
          </w:p>
        </w:tc>
        <w:tc>
          <w:tcPr>
            <w:tcW w:type="dxa" w:w="3780"/>
            <w:vAlign w:val="center"/>
          </w:tcPr>
          <w:p>
            <w:pPr>
              <w:spacing w:after="20"/>
            </w:pPr>
            <w:hyperlink r:id="rId52">
              <w:r>
                <w:rPr>
                  <w:color w:val="0563C1"/>
                  <w:u w:val="single"/>
                  <w:sz w:val="20"/>
                  <w:szCs w:val="20"/>
                </w:rPr>
                <w:t>OpenTelemetry</w:t>
              </w:r>
            </w:hyperlink>
          </w:p>
        </w:tc>
        <w:tc>
          <w:tcPr>
            <w:tcW w:type="dxa" w:w="3780"/>
            <w:vAlign w:val="center"/>
          </w:tcPr>
          <w:p>
            <w:pPr>
              <w:spacing w:after="20"/>
            </w:pPr>
            <w:r>
              <w:rPr>
                <w:sz w:val="20"/>
                <w:szCs w:val="20"/>
              </w:rPr>
              <w:t>Vendor-neutral traces, logs, metrics, propagation</w:t>
            </w:r>
          </w:p>
        </w:tc>
        <w:tc>
          <w:tcPr>
            <w:tcW w:type="dxa" w:w="3780"/>
            <w:vAlign w:val="center"/>
          </w:tcPr>
          <w:p>
            <w:pPr>
              <w:spacing w:after="20"/>
            </w:pPr>
            <w:r>
              <w:rPr>
                <w:sz w:val="20"/>
                <w:szCs w:val="20"/>
              </w:rPr>
              <w:t>Audit completeness, integrity, retention, access, legal sufficiency</w:t>
            </w:r>
          </w:p>
        </w:tc>
      </w:tr>
      <w:tr>
        <w:tc>
          <w:tcPr>
            <w:tcW w:type="dxa" w:w="3780"/>
            <w:vAlign w:val="center"/>
          </w:tcPr>
          <w:p>
            <w:pPr>
              <w:spacing w:after="20"/>
            </w:pPr>
            <w:r>
              <w:rPr>
                <w:sz w:val="20"/>
                <w:szCs w:val="20"/>
              </w:rPr>
              <w:t>Security operations</w:t>
            </w:r>
          </w:p>
        </w:tc>
        <w:tc>
          <w:tcPr>
            <w:tcW w:type="dxa" w:w="3780"/>
            <w:vAlign w:val="center"/>
          </w:tcPr>
          <w:p>
            <w:pPr>
              <w:spacing w:after="20"/>
            </w:pPr>
            <w:hyperlink r:id="rId53">
              <w:r>
                <w:rPr>
                  <w:color w:val="0563C1"/>
                  <w:u w:val="single"/>
                  <w:sz w:val="20"/>
                  <w:szCs w:val="20"/>
                </w:rPr>
                <w:t>Wazuh</w:t>
              </w:r>
            </w:hyperlink>
            <w:r>
              <w:rPr>
                <w:sz w:val="20"/>
                <w:szCs w:val="20"/>
              </w:rPr>
              <w:t>, Splunk, Datadog</w:t>
            </w:r>
          </w:p>
        </w:tc>
        <w:tc>
          <w:tcPr>
            <w:tcW w:type="dxa" w:w="3780"/>
            <w:vAlign w:val="center"/>
          </w:tcPr>
          <w:p>
            <w:pPr>
              <w:spacing w:after="20"/>
            </w:pPr>
            <w:r>
              <w:rPr>
                <w:sz w:val="20"/>
                <w:szCs w:val="20"/>
              </w:rPr>
              <w:t>Search, detection, retention, response integrations</w:t>
            </w:r>
          </w:p>
        </w:tc>
        <w:tc>
          <w:tcPr>
            <w:tcW w:type="dxa" w:w="3780"/>
            <w:vAlign w:val="center"/>
          </w:tcPr>
          <w:p>
            <w:pPr>
              <w:spacing w:after="20"/>
            </w:pPr>
            <w:r>
              <w:rPr>
                <w:sz w:val="20"/>
                <w:szCs w:val="20"/>
              </w:rPr>
              <w:t>Agent-specific event schema and causal correlation</w:t>
            </w:r>
          </w:p>
        </w:tc>
      </w:tr>
      <w:tr>
        <w:tc>
          <w:tcPr>
            <w:tcW w:type="dxa" w:w="3780"/>
            <w:vAlign w:val="center"/>
          </w:tcPr>
          <w:p>
            <w:pPr>
              <w:spacing w:after="20"/>
            </w:pPr>
            <w:r>
              <w:rPr>
                <w:sz w:val="20"/>
                <w:szCs w:val="20"/>
              </w:rPr>
              <w:t>Compliance exchange</w:t>
            </w:r>
          </w:p>
        </w:tc>
        <w:tc>
          <w:tcPr>
            <w:tcW w:type="dxa" w:w="3780"/>
            <w:vAlign w:val="center"/>
          </w:tcPr>
          <w:p>
            <w:pPr>
              <w:spacing w:after="20"/>
            </w:pPr>
            <w:hyperlink r:id="rId54">
              <w:r>
                <w:rPr>
                  <w:color w:val="0563C1"/>
                  <w:u w:val="single"/>
                  <w:sz w:val="20"/>
                  <w:szCs w:val="20"/>
                </w:rPr>
                <w:t>OSCAL</w:t>
              </w:r>
            </w:hyperlink>
            <w:r>
              <w:rPr>
                <w:sz w:val="20"/>
                <w:szCs w:val="20"/>
              </w:rPr>
              <w:t xml:space="preserve">, </w:t>
            </w:r>
            <w:hyperlink r:id="rId55">
              <w:r>
                <w:rPr>
                  <w:color w:val="0563C1"/>
                  <w:u w:val="single"/>
                  <w:sz w:val="20"/>
                  <w:szCs w:val="20"/>
                </w:rPr>
                <w:t>Compliance Trestle</w:t>
              </w:r>
            </w:hyperlink>
          </w:p>
        </w:tc>
        <w:tc>
          <w:tcPr>
            <w:tcW w:type="dxa" w:w="3780"/>
            <w:vAlign w:val="center"/>
          </w:tcPr>
          <w:p>
            <w:pPr>
              <w:spacing w:after="20"/>
            </w:pPr>
            <w:r>
              <w:rPr>
                <w:sz w:val="20"/>
                <w:szCs w:val="20"/>
              </w:rPr>
              <w:t>Machine-readable controls and assessment artifacts</w:t>
            </w:r>
          </w:p>
        </w:tc>
        <w:tc>
          <w:tcPr>
            <w:tcW w:type="dxa" w:w="3780"/>
            <w:vAlign w:val="center"/>
          </w:tcPr>
          <w:p>
            <w:pPr>
              <w:spacing w:after="20"/>
            </w:pPr>
            <w:r>
              <w:rPr>
                <w:sz w:val="20"/>
                <w:szCs w:val="20"/>
              </w:rPr>
              <w:t>Actual enforcement, measurements, ownership, assurance decisions</w:t>
            </w:r>
          </w:p>
        </w:tc>
      </w:tr>
      <w:tr>
        <w:tc>
          <w:tcPr>
            <w:tcW w:type="dxa" w:w="3780"/>
            <w:vAlign w:val="center"/>
          </w:tcPr>
          <w:p>
            <w:pPr>
              <w:spacing w:after="20"/>
            </w:pPr>
            <w:r>
              <w:rPr>
                <w:sz w:val="20"/>
                <w:szCs w:val="20"/>
              </w:rPr>
              <w:t>Data/run lineage</w:t>
            </w:r>
          </w:p>
        </w:tc>
        <w:tc>
          <w:tcPr>
            <w:tcW w:type="dxa" w:w="3780"/>
            <w:vAlign w:val="center"/>
          </w:tcPr>
          <w:p>
            <w:pPr>
              <w:spacing w:after="20"/>
            </w:pPr>
            <w:hyperlink r:id="rId56">
              <w:r>
                <w:rPr>
                  <w:color w:val="0563C1"/>
                  <w:u w:val="single"/>
                  <w:sz w:val="20"/>
                  <w:szCs w:val="20"/>
                </w:rPr>
                <w:t>OpenLineage</w:t>
              </w:r>
            </w:hyperlink>
            <w:r>
              <w:rPr>
                <w:sz w:val="20"/>
                <w:szCs w:val="20"/>
              </w:rPr>
              <w:t xml:space="preserve">, </w:t>
            </w:r>
            <w:hyperlink r:id="rId57">
              <w:r>
                <w:rPr>
                  <w:color w:val="0563C1"/>
                  <w:u w:val="single"/>
                  <w:sz w:val="20"/>
                  <w:szCs w:val="20"/>
                </w:rPr>
                <w:t>DataHub</w:t>
              </w:r>
            </w:hyperlink>
          </w:p>
        </w:tc>
        <w:tc>
          <w:tcPr>
            <w:tcW w:type="dxa" w:w="3780"/>
            <w:vAlign w:val="center"/>
          </w:tcPr>
          <w:p>
            <w:pPr>
              <w:spacing w:after="20"/>
            </w:pPr>
            <w:r>
              <w:rPr>
                <w:sz w:val="20"/>
                <w:szCs w:val="20"/>
              </w:rPr>
              <w:t>Run, dataset, ownership, and metadata relationships</w:t>
            </w:r>
          </w:p>
        </w:tc>
        <w:tc>
          <w:tcPr>
            <w:tcW w:type="dxa" w:w="3780"/>
            <w:vAlign w:val="center"/>
          </w:tcPr>
          <w:p>
            <w:pPr>
              <w:spacing w:after="20"/>
            </w:pPr>
            <w:r>
              <w:rPr>
                <w:sz w:val="20"/>
                <w:szCs w:val="20"/>
              </w:rPr>
              <w:t>Agent action/approval facets and evidence integrity</w:t>
            </w:r>
          </w:p>
        </w:tc>
      </w:tr>
      <w:tr>
        <w:tc>
          <w:tcPr>
            <w:tcW w:type="dxa" w:w="3780"/>
            <w:vAlign w:val="center"/>
          </w:tcPr>
          <w:p>
            <w:pPr>
              <w:spacing w:after="20"/>
            </w:pPr>
            <w:r>
              <w:rPr>
                <w:sz w:val="20"/>
                <w:szCs w:val="20"/>
              </w:rPr>
              <w:t>Artifact knowledge</w:t>
            </w:r>
          </w:p>
        </w:tc>
        <w:tc>
          <w:tcPr>
            <w:tcW w:type="dxa" w:w="3780"/>
            <w:vAlign w:val="center"/>
          </w:tcPr>
          <w:p>
            <w:pPr>
              <w:spacing w:after="20"/>
            </w:pPr>
            <w:hyperlink r:id="rId58">
              <w:r>
                <w:rPr>
                  <w:color w:val="0563C1"/>
                  <w:u w:val="single"/>
                  <w:sz w:val="20"/>
                  <w:szCs w:val="20"/>
                </w:rPr>
                <w:t>GUAC</w:t>
              </w:r>
            </w:hyperlink>
            <w:r>
              <w:rPr>
                <w:sz w:val="20"/>
                <w:szCs w:val="20"/>
              </w:rPr>
              <w:t xml:space="preserve">, </w:t>
            </w:r>
            <w:hyperlink r:id="rId59">
              <w:r>
                <w:rPr>
                  <w:color w:val="0563C1"/>
                  <w:u w:val="single"/>
                  <w:sz w:val="20"/>
                  <w:szCs w:val="20"/>
                </w:rPr>
                <w:t>Grafeas</w:t>
              </w:r>
            </w:hyperlink>
          </w:p>
        </w:tc>
        <w:tc>
          <w:tcPr>
            <w:tcW w:type="dxa" w:w="3780"/>
            <w:vAlign w:val="center"/>
          </w:tcPr>
          <w:p>
            <w:pPr>
              <w:spacing w:after="20"/>
            </w:pPr>
            <w:r>
              <w:rPr>
                <w:sz w:val="20"/>
                <w:szCs w:val="20"/>
              </w:rPr>
              <w:t>Supply-chain and artifact metadata graphs</w:t>
            </w:r>
          </w:p>
        </w:tc>
        <w:tc>
          <w:tcPr>
            <w:tcW w:type="dxa" w:w="3780"/>
            <w:vAlign w:val="center"/>
          </w:tcPr>
          <w:p>
            <w:pPr>
              <w:spacing w:after="20"/>
            </w:pPr>
            <w:r>
              <w:rPr>
                <w:sz w:val="20"/>
                <w:szCs w:val="20"/>
              </w:rPr>
              <w:t>Action authorization, human approval, runtime outcome evidence</w:t>
            </w:r>
          </w:p>
        </w:tc>
      </w:tr>
      <w:tr>
        <w:tc>
          <w:tcPr>
            <w:tcW w:type="dxa" w:w="3780"/>
            <w:vAlign w:val="center"/>
          </w:tcPr>
          <w:p>
            <w:pPr>
              <w:spacing w:after="20"/>
            </w:pPr>
            <w:r>
              <w:rPr>
                <w:sz w:val="20"/>
                <w:szCs w:val="20"/>
              </w:rPr>
              <w:t>Durable approval</w:t>
            </w:r>
          </w:p>
        </w:tc>
        <w:tc>
          <w:tcPr>
            <w:tcW w:type="dxa" w:w="3780"/>
            <w:vAlign w:val="center"/>
          </w:tcPr>
          <w:p>
            <w:pPr>
              <w:spacing w:after="20"/>
            </w:pPr>
            <w:hyperlink r:id="rId60">
              <w:r>
                <w:rPr>
                  <w:color w:val="0563C1"/>
                  <w:u w:val="single"/>
                  <w:sz w:val="20"/>
                  <w:szCs w:val="20"/>
                </w:rPr>
                <w:t>Temporal</w:t>
              </w:r>
            </w:hyperlink>
            <w:r>
              <w:rPr>
                <w:sz w:val="20"/>
                <w:szCs w:val="20"/>
              </w:rPr>
              <w:t xml:space="preserve">, </w:t>
            </w:r>
            <w:hyperlink r:id="rId61">
              <w:r>
                <w:rPr>
                  <w:color w:val="0563C1"/>
                  <w:u w:val="single"/>
                  <w:sz w:val="20"/>
                  <w:szCs w:val="20"/>
                </w:rPr>
                <w:t>Flowable</w:t>
              </w:r>
            </w:hyperlink>
          </w:p>
        </w:tc>
        <w:tc>
          <w:tcPr>
            <w:tcW w:type="dxa" w:w="3780"/>
            <w:vAlign w:val="center"/>
          </w:tcPr>
          <w:p>
            <w:pPr>
              <w:spacing w:after="20"/>
            </w:pPr>
            <w:r>
              <w:rPr>
                <w:sz w:val="20"/>
                <w:szCs w:val="20"/>
              </w:rPr>
              <w:t>Long-running workflow, timers, signals, human tasks</w:t>
            </w:r>
          </w:p>
        </w:tc>
        <w:tc>
          <w:tcPr>
            <w:tcW w:type="dxa" w:w="3780"/>
            <w:vAlign w:val="center"/>
          </w:tcPr>
          <w:p>
            <w:pPr>
              <w:spacing w:after="20"/>
            </w:pPr>
            <w:r>
              <w:rPr>
                <w:sz w:val="20"/>
                <w:szCs w:val="20"/>
              </w:rPr>
              <w:t>Approval UX, identity proof, separation of duties, scoped capability</w:t>
            </w:r>
          </w:p>
        </w:tc>
      </w:tr>
      <w:tr>
        <w:tc>
          <w:tcPr>
            <w:tcW w:type="dxa" w:w="3780"/>
            <w:vAlign w:val="center"/>
          </w:tcPr>
          <w:p>
            <w:pPr>
              <w:spacing w:after="20"/>
            </w:pPr>
            <w:r>
              <w:rPr>
                <w:sz w:val="20"/>
                <w:szCs w:val="20"/>
              </w:rPr>
              <w:t>HPC scheduling</w:t>
            </w:r>
          </w:p>
        </w:tc>
        <w:tc>
          <w:tcPr>
            <w:tcW w:type="dxa" w:w="3780"/>
            <w:vAlign w:val="center"/>
          </w:tcPr>
          <w:p>
            <w:pPr>
              <w:spacing w:after="20"/>
            </w:pPr>
            <w:hyperlink r:id="rId62">
              <w:r>
                <w:rPr>
                  <w:color w:val="0563C1"/>
                  <w:u w:val="single"/>
                  <w:sz w:val="20"/>
                  <w:szCs w:val="20"/>
                </w:rPr>
                <w:t>Slurm</w:t>
              </w:r>
            </w:hyperlink>
            <w:r>
              <w:rPr>
                <w:sz w:val="20"/>
                <w:szCs w:val="20"/>
              </w:rPr>
              <w:t xml:space="preserve"> and site schedulers</w:t>
            </w:r>
          </w:p>
        </w:tc>
        <w:tc>
          <w:tcPr>
            <w:tcW w:type="dxa" w:w="3780"/>
            <w:vAlign w:val="center"/>
          </w:tcPr>
          <w:p>
            <w:pPr>
              <w:spacing w:after="20"/>
            </w:pPr>
            <w:r>
              <w:rPr>
                <w:sz w:val="20"/>
                <w:szCs w:val="20"/>
              </w:rPr>
              <w:t>Authoritative placement and workload lifecycle</w:t>
            </w:r>
          </w:p>
        </w:tc>
        <w:tc>
          <w:tcPr>
            <w:tcW w:type="dxa" w:w="3780"/>
            <w:vAlign w:val="center"/>
          </w:tcPr>
          <w:p>
            <w:pPr>
              <w:spacing w:after="20"/>
            </w:pPr>
            <w:r>
              <w:rPr>
                <w:sz w:val="20"/>
                <w:szCs w:val="20"/>
              </w:rPr>
              <w:t>Runtime-neutral agent operation envelope and run/job correlation</w:t>
            </w:r>
          </w:p>
        </w:tc>
      </w:tr>
    </w:tbl>
    <w:p/>
    <w:p>
      <w:pPr>
        <w:pStyle w:val="Heading3"/>
      </w:pPr>
      <w:r>
        <w:t>3.2 Recommended composition</w:t>
      </w:r>
    </w:p>
    <w:p>
      <w:r>
        <w:t>A practical governance request path is:</w:t>
      </w:r>
    </w:p>
    <w:p>
      <w:pPr>
        <w:pStyle w:val="ListNumber"/>
      </w:pPr>
      <w:r>
        <w:t>A human authenticates through the site IdP; the application records user, task, purpose, and delegation limits.</w:t>
      </w:r>
    </w:p>
    <w:p>
      <w:pPr>
        <w:pStyle w:val="ListNumber"/>
      </w:pPr>
      <w:r>
        <w:t>The CAF workload receives an attested, short-lived workload identity.</w:t>
      </w:r>
    </w:p>
    <w:p>
      <w:pPr>
        <w:pStyle w:val="ListNumber"/>
      </w:pPr>
      <w:r>
        <w:t>The host verifies the image, adapter, policy/configuration, and attestations before launch.</w:t>
      </w:r>
    </w:p>
    <w:p>
      <w:pPr>
        <w:pStyle w:val="ListNumber"/>
      </w:pPr>
      <w:r>
        <w:t>Each selected tool or inference request enters a CAF adapter with human, workload, run, call, resource, and task context.</w:t>
      </w:r>
    </w:p>
    <w:p>
      <w:pPr>
        <w:pStyle w:val="ListNumber"/>
      </w:pPr>
      <w:r>
        <w:t>A host policy service returns the authoritative decision and obligations.</w:t>
      </w:r>
    </w:p>
    <w:p>
      <w:pPr>
        <w:pStyle w:val="ListNumber"/>
      </w:pPr>
      <w:r>
        <w:t>High-impact requests may create a durable approval workflow that issues a narrow, expiring capability bound to the exact action.</w:t>
      </w:r>
    </w:p>
    <w:p>
      <w:pPr>
        <w:pStyle w:val="ListNumber"/>
      </w:pPr>
      <w:r>
        <w:t>The action executes under host-controlled container, network, filesystem, resource, credential, and scheduler controls.</w:t>
      </w:r>
    </w:p>
    <w:p>
      <w:pPr>
        <w:pStyle w:val="ListNumber"/>
      </w:pPr>
      <w:r>
        <w:t>CAF emits application-level evidence; the host exports, retains, correlates, and investigates it with existing systems.</w:t>
      </w:r>
    </w:p>
    <w:p>
      <w:r>
        <w:t xml:space="preserve">The missing reusable standard is a cross-component correlation envelope, but CAF should introduce it in layers. The </w:t>
      </w:r>
      <w:r>
        <w:rPr>
          <w:b/>
        </w:rPr>
        <w:t>MVP core</w:t>
      </w:r>
      <w:r>
        <w:t xml:space="preserve"> should contain run/call IDs, operation class, decision reference, status, and scheduler or other external references. </w:t>
      </w:r>
      <w:r>
        <w:rPr>
          <w:b/>
        </w:rPr>
        <w:t>Optional opaque host references</w:t>
      </w:r>
      <w:r>
        <w:t xml:space="preserve"> may identify a human principal, workload identity, approval, or artifact attestation without making CAF authoritative for them. </w:t>
      </w:r>
      <w:r>
        <w:rPr>
          <w:b/>
        </w:rPr>
        <w:t>Future extensions</w:t>
      </w:r>
      <w:r>
        <w:t xml:space="preserve"> may carry richer delegation and assurance context after concrete integrations prove the need. CAF exports application-level evidence; it does not ingest or correlate host telemetry.</w:t>
      </w:r>
    </w:p>
    <w:p>
      <w:pPr>
        <w:pStyle w:val="Heading3"/>
      </w:pPr>
      <w:r>
        <w:t>3.3 Selection, licensing, and deployment details</w:t>
      </w:r>
    </w:p>
    <w:p>
      <w:r>
        <w:t>The following alternatives materially affect portability, operations, or product licensing and should not disappear behind a shortlist.</w:t>
      </w:r>
    </w:p>
    <w:tbl>
      <w:tblPr>
        <w:tblStyle w:val="TableGrid"/>
        <w:tblW w:type="auto" w:w="0"/>
        <w:jc w:val="center"/>
        <w:tblLayout w:type="autofit"/>
        <w:tblLook w:firstColumn="1" w:firstRow="1" w:lastColumn="0" w:lastRow="0" w:noHBand="0" w:noVBand="1" w:val="04A0"/>
      </w:tblPr>
      <w:tblGrid>
        <w:gridCol w:w="3780"/>
        <w:gridCol w:w="3780"/>
        <w:gridCol w:w="3780"/>
        <w:gridCol w:w="3780"/>
      </w:tblGrid>
      <w:tr>
        <w:trPr>
          <w:tblHeader w:val="true"/>
        </w:trPr>
        <w:tc>
          <w:tcPr>
            <w:tcW w:type="dxa" w:w="3780"/>
            <w:vAlign w:val="center"/>
            <w:shd w:fill="D9EAF7"/>
          </w:tcPr>
          <w:p>
            <w:pPr>
              <w:spacing w:after="20"/>
            </w:pPr>
            <w:r>
              <w:rPr>
                <w:b/>
                <w:sz w:val="20"/>
                <w:szCs w:val="20"/>
              </w:rPr>
              <w:t>Component</w:t>
            </w:r>
          </w:p>
        </w:tc>
        <w:tc>
          <w:tcPr>
            <w:tcW w:type="dxa" w:w="3780"/>
            <w:vAlign w:val="center"/>
            <w:shd w:fill="D9EAF7"/>
          </w:tcPr>
          <w:p>
            <w:pPr>
              <w:spacing w:after="20"/>
            </w:pPr>
            <w:r>
              <w:rPr>
                <w:b/>
                <w:sz w:val="20"/>
                <w:szCs w:val="20"/>
              </w:rPr>
              <w:t>Type and license/posture</w:t>
            </w:r>
          </w:p>
        </w:tc>
        <w:tc>
          <w:tcPr>
            <w:tcW w:type="dxa" w:w="3780"/>
            <w:vAlign w:val="center"/>
            <w:shd w:fill="D9EAF7"/>
          </w:tcPr>
          <w:p>
            <w:pPr>
              <w:spacing w:after="20"/>
            </w:pPr>
            <w:r>
              <w:rPr>
                <w:b/>
                <w:sz w:val="20"/>
                <w:szCs w:val="20"/>
              </w:rPr>
              <w:t>Deployment choice</w:t>
            </w:r>
          </w:p>
        </w:tc>
        <w:tc>
          <w:tcPr>
            <w:tcW w:type="dxa" w:w="3780"/>
            <w:vAlign w:val="center"/>
            <w:shd w:fill="D9EAF7"/>
          </w:tcPr>
          <w:p>
            <w:pPr>
              <w:spacing w:after="20"/>
            </w:pPr>
            <w:r>
              <w:rPr>
                <w:b/>
                <w:sz w:val="20"/>
                <w:szCs w:val="20"/>
              </w:rPr>
              <w:t>Selection trigger or limitation</w:t>
            </w:r>
          </w:p>
        </w:tc>
      </w:tr>
      <w:tr>
        <w:tc>
          <w:tcPr>
            <w:tcW w:type="dxa" w:w="3780"/>
            <w:vAlign w:val="center"/>
          </w:tcPr>
          <w:p>
            <w:pPr>
              <w:spacing w:after="20"/>
            </w:pPr>
            <w:r>
              <w:rPr>
                <w:sz w:val="20"/>
                <w:szCs w:val="20"/>
              </w:rPr>
              <w:t>OPA</w:t>
            </w:r>
          </w:p>
        </w:tc>
        <w:tc>
          <w:tcPr>
            <w:tcW w:type="dxa" w:w="3780"/>
            <w:vAlign w:val="center"/>
          </w:tcPr>
          <w:p>
            <w:pPr>
              <w:spacing w:after="20"/>
            </w:pPr>
            <w:r>
              <w:rPr>
                <w:sz w:val="20"/>
                <w:szCs w:val="20"/>
              </w:rPr>
              <w:t>Apache-2.0 policy engine; self-hosted/embedded; managed administration available from vendors</w:t>
            </w:r>
          </w:p>
        </w:tc>
        <w:tc>
          <w:tcPr>
            <w:tcW w:type="dxa" w:w="3780"/>
            <w:vAlign w:val="center"/>
          </w:tcPr>
          <w:p>
            <w:pPr>
              <w:spacing w:after="20"/>
            </w:pPr>
            <w:r>
              <w:rPr>
                <w:sz w:val="20"/>
                <w:szCs w:val="20"/>
              </w:rPr>
              <w:t>Sidecar, service, gateway, admission</w:t>
            </w:r>
          </w:p>
        </w:tc>
        <w:tc>
          <w:tcPr>
            <w:tcW w:type="dxa" w:w="3780"/>
            <w:vAlign w:val="center"/>
          </w:tcPr>
          <w:p>
            <w:pPr>
              <w:spacing w:after="20"/>
            </w:pPr>
            <w:r>
              <w:rPr>
                <w:sz w:val="20"/>
                <w:szCs w:val="20"/>
              </w:rPr>
              <w:t>Best for arbitrary structured policy; CAF still needs PEPs and policy lifecycle</w:t>
            </w:r>
          </w:p>
        </w:tc>
      </w:tr>
      <w:tr>
        <w:tc>
          <w:tcPr>
            <w:tcW w:type="dxa" w:w="3780"/>
            <w:vAlign w:val="center"/>
          </w:tcPr>
          <w:p>
            <w:pPr>
              <w:spacing w:after="20"/>
            </w:pPr>
            <w:r>
              <w:rPr>
                <w:sz w:val="20"/>
                <w:szCs w:val="20"/>
              </w:rPr>
              <w:t>Cedar</w:t>
            </w:r>
          </w:p>
        </w:tc>
        <w:tc>
          <w:tcPr>
            <w:tcW w:type="dxa" w:w="3780"/>
            <w:vAlign w:val="center"/>
          </w:tcPr>
          <w:p>
            <w:pPr>
              <w:spacing w:after="20"/>
            </w:pPr>
            <w:r>
              <w:rPr>
                <w:sz w:val="20"/>
                <w:szCs w:val="20"/>
              </w:rPr>
              <w:t>Apache-2.0 language/engine; managed through Amazon Verified Permissions or embedded</w:t>
            </w:r>
          </w:p>
        </w:tc>
        <w:tc>
          <w:tcPr>
            <w:tcW w:type="dxa" w:w="3780"/>
            <w:vAlign w:val="center"/>
          </w:tcPr>
          <w:p>
            <w:pPr>
              <w:spacing w:after="20"/>
            </w:pPr>
            <w:r>
              <w:rPr>
                <w:sz w:val="20"/>
                <w:szCs w:val="20"/>
              </w:rPr>
              <w:t>Embedded or AWS managed</w:t>
            </w:r>
          </w:p>
        </w:tc>
        <w:tc>
          <w:tcPr>
            <w:tcW w:type="dxa" w:w="3780"/>
            <w:vAlign w:val="center"/>
          </w:tcPr>
          <w:p>
            <w:pPr>
              <w:spacing w:after="20"/>
            </w:pPr>
            <w:r>
              <w:rPr>
                <w:sz w:val="20"/>
                <w:szCs w:val="20"/>
              </w:rPr>
              <w:t>Strong schema-aware authorization; narrower than general Rego policy</w:t>
            </w:r>
          </w:p>
        </w:tc>
      </w:tr>
      <w:tr>
        <w:tc>
          <w:tcPr>
            <w:tcW w:type="dxa" w:w="3780"/>
            <w:vAlign w:val="center"/>
          </w:tcPr>
          <w:p>
            <w:pPr>
              <w:spacing w:after="20"/>
            </w:pPr>
            <w:r>
              <w:rPr>
                <w:sz w:val="20"/>
                <w:szCs w:val="20"/>
              </w:rPr>
              <w:t>OpenFGA / SpiceDB</w:t>
            </w:r>
          </w:p>
        </w:tc>
        <w:tc>
          <w:tcPr>
            <w:tcW w:type="dxa" w:w="3780"/>
            <w:vAlign w:val="center"/>
          </w:tcPr>
          <w:p>
            <w:pPr>
              <w:spacing w:after="20"/>
            </w:pPr>
            <w:r>
              <w:rPr>
                <w:sz w:val="20"/>
                <w:szCs w:val="20"/>
              </w:rPr>
              <w:t>Apache-2.0 ReBAC engines; self-hosted and managed choices</w:t>
            </w:r>
          </w:p>
        </w:tc>
        <w:tc>
          <w:tcPr>
            <w:tcW w:type="dxa" w:w="3780"/>
            <w:vAlign w:val="center"/>
          </w:tcPr>
          <w:p>
            <w:pPr>
              <w:spacing w:after="20"/>
            </w:pPr>
            <w:r>
              <w:rPr>
                <w:sz w:val="20"/>
                <w:szCs w:val="20"/>
              </w:rPr>
              <w:t>Central permissions service</w:t>
            </w:r>
          </w:p>
        </w:tc>
        <w:tc>
          <w:tcPr>
            <w:tcW w:type="dxa" w:w="3780"/>
            <w:vAlign w:val="center"/>
          </w:tcPr>
          <w:p>
            <w:pPr>
              <w:spacing w:after="20"/>
            </w:pPr>
            <w:r>
              <w:rPr>
                <w:sz w:val="20"/>
                <w:szCs w:val="20"/>
              </w:rPr>
              <w:t>Add only when permissions are naturally relationship graphs</w:t>
            </w:r>
          </w:p>
        </w:tc>
      </w:tr>
      <w:tr>
        <w:tc>
          <w:tcPr>
            <w:tcW w:type="dxa" w:w="3780"/>
            <w:vAlign w:val="center"/>
          </w:tcPr>
          <w:p>
            <w:pPr>
              <w:spacing w:after="20"/>
            </w:pPr>
            <w:r>
              <w:rPr>
                <w:sz w:val="20"/>
                <w:szCs w:val="20"/>
              </w:rPr>
              <w:t>OpenBao</w:t>
            </w:r>
          </w:p>
        </w:tc>
        <w:tc>
          <w:tcPr>
            <w:tcW w:type="dxa" w:w="3780"/>
            <w:vAlign w:val="center"/>
          </w:tcPr>
          <w:p>
            <w:pPr>
              <w:spacing w:after="20"/>
            </w:pPr>
            <w:r>
              <w:rPr>
                <w:sz w:val="20"/>
                <w:szCs w:val="20"/>
              </w:rPr>
              <w:t>MPL-2.0 self-hosted secrets platform</w:t>
            </w:r>
          </w:p>
        </w:tc>
        <w:tc>
          <w:tcPr>
            <w:tcW w:type="dxa" w:w="3780"/>
            <w:vAlign w:val="center"/>
          </w:tcPr>
          <w:p>
            <w:pPr>
              <w:spacing w:after="20"/>
            </w:pPr>
            <w:r>
              <w:rPr>
                <w:sz w:val="20"/>
                <w:szCs w:val="20"/>
              </w:rPr>
              <w:t>Site-operated</w:t>
            </w:r>
          </w:p>
        </w:tc>
        <w:tc>
          <w:tcPr>
            <w:tcW w:type="dxa" w:w="3780"/>
            <w:vAlign w:val="center"/>
          </w:tcPr>
          <w:p>
            <w:pPr>
              <w:spacing w:after="20"/>
            </w:pPr>
            <w:r>
              <w:rPr>
                <w:sz w:val="20"/>
                <w:szCs w:val="20"/>
              </w:rPr>
              <w:t>Open-source Vault lineage; operational HA/key management required</w:t>
            </w:r>
          </w:p>
        </w:tc>
      </w:tr>
      <w:tr>
        <w:tc>
          <w:tcPr>
            <w:tcW w:type="dxa" w:w="3780"/>
            <w:vAlign w:val="center"/>
          </w:tcPr>
          <w:p>
            <w:pPr>
              <w:spacing w:after="20"/>
            </w:pPr>
            <w:r>
              <w:rPr>
                <w:sz w:val="20"/>
                <w:szCs w:val="20"/>
              </w:rPr>
              <w:t>HashiCorp Vault</w:t>
            </w:r>
          </w:p>
        </w:tc>
        <w:tc>
          <w:tcPr>
            <w:tcW w:type="dxa" w:w="3780"/>
            <w:vAlign w:val="center"/>
          </w:tcPr>
          <w:p>
            <w:pPr>
              <w:spacing w:after="20"/>
            </w:pPr>
            <w:r>
              <w:rPr>
                <w:sz w:val="20"/>
                <w:szCs w:val="20"/>
              </w:rPr>
              <w:t>BSL 1.1 current source plus commercial/managed editions</w:t>
            </w:r>
          </w:p>
        </w:tc>
        <w:tc>
          <w:tcPr>
            <w:tcW w:type="dxa" w:w="3780"/>
            <w:vAlign w:val="center"/>
          </w:tcPr>
          <w:p>
            <w:pPr>
              <w:spacing w:after="20"/>
            </w:pPr>
            <w:r>
              <w:rPr>
                <w:sz w:val="20"/>
                <w:szCs w:val="20"/>
              </w:rPr>
              <w:t>Self-managed or HCP</w:t>
            </w:r>
          </w:p>
        </w:tc>
        <w:tc>
          <w:tcPr>
            <w:tcW w:type="dxa" w:w="3780"/>
            <w:vAlign w:val="center"/>
          </w:tcPr>
          <w:p>
            <w:pPr>
              <w:spacing w:after="20"/>
            </w:pPr>
            <w:r>
              <w:rPr>
                <w:sz w:val="20"/>
                <w:szCs w:val="20"/>
              </w:rPr>
              <w:t>Mature ecosystem, but embedding/competitive-service use needs legal review</w:t>
            </w:r>
          </w:p>
        </w:tc>
      </w:tr>
      <w:tr>
        <w:tc>
          <w:tcPr>
            <w:tcW w:type="dxa" w:w="3780"/>
            <w:vAlign w:val="center"/>
          </w:tcPr>
          <w:p>
            <w:pPr>
              <w:spacing w:after="20"/>
            </w:pPr>
            <w:r>
              <w:rPr>
                <w:sz w:val="20"/>
                <w:szCs w:val="20"/>
              </w:rPr>
              <w:t>External Secrets Operator</w:t>
            </w:r>
          </w:p>
        </w:tc>
        <w:tc>
          <w:tcPr>
            <w:tcW w:type="dxa" w:w="3780"/>
            <w:vAlign w:val="center"/>
          </w:tcPr>
          <w:p>
            <w:pPr>
              <w:spacing w:after="20"/>
            </w:pPr>
            <w:r>
              <w:rPr>
                <w:sz w:val="20"/>
                <w:szCs w:val="20"/>
              </w:rPr>
              <w:t>Apache-2.0 Kubernetes delivery bridge</w:t>
            </w:r>
          </w:p>
        </w:tc>
        <w:tc>
          <w:tcPr>
            <w:tcW w:type="dxa" w:w="3780"/>
            <w:vAlign w:val="center"/>
          </w:tcPr>
          <w:p>
            <w:pPr>
              <w:spacing w:after="20"/>
            </w:pPr>
            <w:r>
              <w:rPr>
                <w:sz w:val="20"/>
                <w:szCs w:val="20"/>
              </w:rPr>
              <w:t>Kubernetes operator</w:t>
            </w:r>
          </w:p>
        </w:tc>
        <w:tc>
          <w:tcPr>
            <w:tcW w:type="dxa" w:w="3780"/>
            <w:vAlign w:val="center"/>
          </w:tcPr>
          <w:p>
            <w:pPr>
              <w:spacing w:after="20"/>
            </w:pPr>
            <w:r>
              <w:rPr>
                <w:sz w:val="20"/>
                <w:szCs w:val="20"/>
              </w:rPr>
              <w:t>Not a vault; materializing Kubernetes Secrets changes exposure</w:t>
            </w:r>
          </w:p>
        </w:tc>
      </w:tr>
      <w:tr>
        <w:tc>
          <w:tcPr>
            <w:tcW w:type="dxa" w:w="3780"/>
            <w:vAlign w:val="center"/>
          </w:tcPr>
          <w:p>
            <w:pPr>
              <w:spacing w:after="20"/>
            </w:pPr>
            <w:r>
              <w:rPr>
                <w:sz w:val="20"/>
                <w:szCs w:val="20"/>
              </w:rPr>
              <w:t>SOPS</w:t>
            </w:r>
          </w:p>
        </w:tc>
        <w:tc>
          <w:tcPr>
            <w:tcW w:type="dxa" w:w="3780"/>
            <w:vAlign w:val="center"/>
          </w:tcPr>
          <w:p>
            <w:pPr>
              <w:spacing w:after="20"/>
            </w:pPr>
            <w:r>
              <w:rPr>
                <w:sz w:val="20"/>
                <w:szCs w:val="20"/>
              </w:rPr>
              <w:t>MPL-2.0 encrypted-file tool</w:t>
            </w:r>
          </w:p>
        </w:tc>
        <w:tc>
          <w:tcPr>
            <w:tcW w:type="dxa" w:w="3780"/>
            <w:vAlign w:val="center"/>
          </w:tcPr>
          <w:p>
            <w:pPr>
              <w:spacing w:after="20"/>
            </w:pPr>
            <w:r>
              <w:rPr>
                <w:sz w:val="20"/>
                <w:szCs w:val="20"/>
              </w:rPr>
              <w:t>GitOps/client-side</w:t>
            </w:r>
          </w:p>
        </w:tc>
        <w:tc>
          <w:tcPr>
            <w:tcW w:type="dxa" w:w="3780"/>
            <w:vAlign w:val="center"/>
          </w:tcPr>
          <w:p>
            <w:pPr>
              <w:spacing w:after="20"/>
            </w:pPr>
            <w:r>
              <w:rPr>
                <w:sz w:val="20"/>
                <w:szCs w:val="20"/>
              </w:rPr>
              <w:t>Useful for config files; no dynamic leases, revocation, or runtime audit</w:t>
            </w:r>
          </w:p>
        </w:tc>
      </w:tr>
      <w:tr>
        <w:tc>
          <w:tcPr>
            <w:tcW w:type="dxa" w:w="3780"/>
            <w:vAlign w:val="center"/>
          </w:tcPr>
          <w:p>
            <w:pPr>
              <w:spacing w:after="20"/>
            </w:pPr>
            <w:r>
              <w:rPr>
                <w:sz w:val="20"/>
                <w:szCs w:val="20"/>
              </w:rPr>
              <w:t>osquery / Wazuh</w:t>
            </w:r>
          </w:p>
        </w:tc>
        <w:tc>
          <w:tcPr>
            <w:tcW w:type="dxa" w:w="3780"/>
            <w:vAlign w:val="center"/>
          </w:tcPr>
          <w:p>
            <w:pPr>
              <w:spacing w:after="20"/>
            </w:pPr>
            <w:r>
              <w:rPr>
                <w:sz w:val="20"/>
                <w:szCs w:val="20"/>
              </w:rPr>
              <w:t>Apache/GPL host telemetry and security monitoring</w:t>
            </w:r>
          </w:p>
        </w:tc>
        <w:tc>
          <w:tcPr>
            <w:tcW w:type="dxa" w:w="3780"/>
            <w:vAlign w:val="center"/>
          </w:tcPr>
          <w:p>
            <w:pPr>
              <w:spacing w:after="20"/>
            </w:pPr>
            <w:r>
              <w:rPr>
                <w:sz w:val="20"/>
                <w:szCs w:val="20"/>
              </w:rPr>
              <w:t>Self-hosted or Wazuh Cloud</w:t>
            </w:r>
          </w:p>
        </w:tc>
        <w:tc>
          <w:tcPr>
            <w:tcW w:type="dxa" w:w="3780"/>
            <w:vAlign w:val="center"/>
          </w:tcPr>
          <w:p>
            <w:pPr>
              <w:spacing w:after="20"/>
            </w:pPr>
            <w:r>
              <w:rPr>
                <w:sz w:val="20"/>
                <w:szCs w:val="20"/>
              </w:rPr>
              <w:t>Infrastructure evidence; agent semantics still require CAF events</w:t>
            </w:r>
          </w:p>
        </w:tc>
      </w:tr>
      <w:tr>
        <w:tc>
          <w:tcPr>
            <w:tcW w:type="dxa" w:w="3780"/>
            <w:vAlign w:val="center"/>
          </w:tcPr>
          <w:p>
            <w:pPr>
              <w:spacing w:after="20"/>
            </w:pPr>
            <w:r>
              <w:rPr>
                <w:sz w:val="20"/>
                <w:szCs w:val="20"/>
              </w:rPr>
              <w:t>OpenSCAP</w:t>
            </w:r>
          </w:p>
        </w:tc>
        <w:tc>
          <w:tcPr>
            <w:tcW w:type="dxa" w:w="3780"/>
            <w:vAlign w:val="center"/>
          </w:tcPr>
          <w:p>
            <w:pPr>
              <w:spacing w:after="20"/>
            </w:pPr>
            <w:r>
              <w:rPr>
                <w:sz w:val="20"/>
                <w:szCs w:val="20"/>
              </w:rPr>
              <w:t>LGPL scanner/toolkit</w:t>
            </w:r>
          </w:p>
        </w:tc>
        <w:tc>
          <w:tcPr>
            <w:tcW w:type="dxa" w:w="3780"/>
            <w:vAlign w:val="center"/>
          </w:tcPr>
          <w:p>
            <w:pPr>
              <w:spacing w:after="20"/>
            </w:pPr>
            <w:r>
              <w:rPr>
                <w:sz w:val="20"/>
                <w:szCs w:val="20"/>
              </w:rPr>
              <w:t>Host-side assessment</w:t>
            </w:r>
          </w:p>
        </w:tc>
        <w:tc>
          <w:tcPr>
            <w:tcW w:type="dxa" w:w="3780"/>
            <w:vAlign w:val="center"/>
          </w:tcPr>
          <w:p>
            <w:pPr>
              <w:spacing w:after="20"/>
            </w:pPr>
            <w:r>
              <w:rPr>
                <w:sz w:val="20"/>
                <w:szCs w:val="20"/>
              </w:rPr>
              <w:t>Strong for configuration baselines, not agent behavior or approvals</w:t>
            </w:r>
          </w:p>
        </w:tc>
      </w:tr>
      <w:tr>
        <w:tc>
          <w:tcPr>
            <w:tcW w:type="dxa" w:w="3780"/>
            <w:vAlign w:val="center"/>
          </w:tcPr>
          <w:p>
            <w:pPr>
              <w:spacing w:after="20"/>
            </w:pPr>
            <w:r>
              <w:rPr>
                <w:sz w:val="20"/>
                <w:szCs w:val="20"/>
              </w:rPr>
              <w:t>ServiceNow IRM/GRC</w:t>
            </w:r>
          </w:p>
        </w:tc>
        <w:tc>
          <w:tcPr>
            <w:tcW w:type="dxa" w:w="3780"/>
            <w:vAlign w:val="center"/>
          </w:tcPr>
          <w:p>
            <w:pPr>
              <w:spacing w:after="20"/>
            </w:pPr>
            <w:r>
              <w:rPr>
                <w:sz w:val="20"/>
                <w:szCs w:val="20"/>
              </w:rPr>
              <w:t>Proprietary enterprise GRC</w:t>
            </w:r>
          </w:p>
        </w:tc>
        <w:tc>
          <w:tcPr>
            <w:tcW w:type="dxa" w:w="3780"/>
            <w:vAlign w:val="center"/>
          </w:tcPr>
          <w:p>
            <w:pPr>
              <w:spacing w:after="20"/>
            </w:pPr>
            <w:r>
              <w:rPr>
                <w:sz w:val="20"/>
                <w:szCs w:val="20"/>
              </w:rPr>
              <w:t>Managed platform</w:t>
            </w:r>
          </w:p>
        </w:tc>
        <w:tc>
          <w:tcPr>
            <w:tcW w:type="dxa" w:w="3780"/>
            <w:vAlign w:val="center"/>
          </w:tcPr>
          <w:p>
            <w:pPr>
              <w:spacing w:after="20"/>
            </w:pPr>
            <w:r>
              <w:rPr>
                <w:sz w:val="20"/>
                <w:szCs w:val="20"/>
              </w:rPr>
              <w:t>Use for owners, risks, exceptions, and auditors—not synchronous policy</w:t>
            </w:r>
          </w:p>
        </w:tc>
      </w:tr>
      <w:tr>
        <w:tc>
          <w:tcPr>
            <w:tcW w:type="dxa" w:w="3780"/>
            <w:vAlign w:val="center"/>
          </w:tcPr>
          <w:p>
            <w:pPr>
              <w:spacing w:after="20"/>
            </w:pPr>
            <w:r>
              <w:rPr>
                <w:sz w:val="20"/>
                <w:szCs w:val="20"/>
              </w:rPr>
              <w:t>Temporal / Flowable</w:t>
            </w:r>
          </w:p>
        </w:tc>
        <w:tc>
          <w:tcPr>
            <w:tcW w:type="dxa" w:w="3780"/>
            <w:vAlign w:val="center"/>
          </w:tcPr>
          <w:p>
            <w:pPr>
              <w:spacing w:after="20"/>
            </w:pPr>
            <w:r>
              <w:rPr>
                <w:sz w:val="20"/>
                <w:szCs w:val="20"/>
              </w:rPr>
              <w:t>MIT durable workflow / Apache BPMN-CMMN-DMN engines, with managed/commercial options</w:t>
            </w:r>
          </w:p>
        </w:tc>
        <w:tc>
          <w:tcPr>
            <w:tcW w:type="dxa" w:w="3780"/>
            <w:vAlign w:val="center"/>
          </w:tcPr>
          <w:p>
            <w:pPr>
              <w:spacing w:after="20"/>
            </w:pPr>
            <w:r>
              <w:rPr>
                <w:sz w:val="20"/>
                <w:szCs w:val="20"/>
              </w:rPr>
              <w:t>Self-hosted or managed</w:t>
            </w:r>
          </w:p>
        </w:tc>
        <w:tc>
          <w:tcPr>
            <w:tcW w:type="dxa" w:w="3780"/>
            <w:vAlign w:val="center"/>
          </w:tcPr>
          <w:p>
            <w:pPr>
              <w:spacing w:after="20"/>
            </w:pPr>
            <w:r>
              <w:rPr>
                <w:sz w:val="20"/>
                <w:szCs w:val="20"/>
              </w:rPr>
              <w:t>Temporal for code-first durability; Flowable for modeled human tasks</w:t>
            </w:r>
          </w:p>
        </w:tc>
      </w:tr>
      <w:tr>
        <w:tc>
          <w:tcPr>
            <w:tcW w:type="dxa" w:w="3780"/>
            <w:vAlign w:val="center"/>
          </w:tcPr>
          <w:p>
            <w:pPr>
              <w:spacing w:after="20"/>
            </w:pPr>
            <w:r>
              <w:rPr>
                <w:sz w:val="20"/>
                <w:szCs w:val="20"/>
              </w:rPr>
              <w:t>Argo Workflows / GitHub environments</w:t>
            </w:r>
          </w:p>
        </w:tc>
        <w:tc>
          <w:tcPr>
            <w:tcW w:type="dxa" w:w="3780"/>
            <w:vAlign w:val="center"/>
          </w:tcPr>
          <w:p>
            <w:pPr>
              <w:spacing w:after="20"/>
            </w:pPr>
            <w:r>
              <w:rPr>
                <w:sz w:val="20"/>
                <w:szCs w:val="20"/>
              </w:rPr>
              <w:t>Apache Kubernetes workflow / proprietary deployment approval</w:t>
            </w:r>
          </w:p>
        </w:tc>
        <w:tc>
          <w:tcPr>
            <w:tcW w:type="dxa" w:w="3780"/>
            <w:vAlign w:val="center"/>
          </w:tcPr>
          <w:p>
            <w:pPr>
              <w:spacing w:after="20"/>
            </w:pPr>
            <w:r>
              <w:rPr>
                <w:sz w:val="20"/>
                <w:szCs w:val="20"/>
              </w:rPr>
              <w:t>Cluster or GitHub</w:t>
            </w:r>
          </w:p>
        </w:tc>
        <w:tc>
          <w:tcPr>
            <w:tcW w:type="dxa" w:w="3780"/>
            <w:vAlign w:val="center"/>
          </w:tcPr>
          <w:p>
            <w:pPr>
              <w:spacing w:after="20"/>
            </w:pPr>
            <w:r>
              <w:rPr>
                <w:sz w:val="20"/>
                <w:szCs w:val="20"/>
              </w:rPr>
              <w:t>Useful narrow workflow gates, not general human-approval governance</w:t>
            </w:r>
          </w:p>
        </w:tc>
      </w:tr>
      <w:tr>
        <w:tc>
          <w:tcPr>
            <w:tcW w:type="dxa" w:w="3780"/>
            <w:vAlign w:val="center"/>
          </w:tcPr>
          <w:p>
            <w:pPr>
              <w:spacing w:after="20"/>
            </w:pPr>
            <w:r>
              <w:rPr>
                <w:sz w:val="20"/>
                <w:szCs w:val="20"/>
              </w:rPr>
              <w:t>DataHub / Collibra</w:t>
            </w:r>
          </w:p>
        </w:tc>
        <w:tc>
          <w:tcPr>
            <w:tcW w:type="dxa" w:w="3780"/>
            <w:vAlign w:val="center"/>
          </w:tcPr>
          <w:p>
            <w:pPr>
              <w:spacing w:after="20"/>
            </w:pPr>
            <w:r>
              <w:rPr>
                <w:sz w:val="20"/>
                <w:szCs w:val="20"/>
              </w:rPr>
              <w:t>Apache open-core / proprietary cloud data governance</w:t>
            </w:r>
          </w:p>
        </w:tc>
        <w:tc>
          <w:tcPr>
            <w:tcW w:type="dxa" w:w="3780"/>
            <w:vAlign w:val="center"/>
          </w:tcPr>
          <w:p>
            <w:pPr>
              <w:spacing w:after="20"/>
            </w:pPr>
            <w:r>
              <w:rPr>
                <w:sz w:val="20"/>
                <w:szCs w:val="20"/>
              </w:rPr>
              <w:t>Self-hosted/managed or cloud</w:t>
            </w:r>
          </w:p>
        </w:tc>
        <w:tc>
          <w:tcPr>
            <w:tcW w:type="dxa" w:w="3780"/>
            <w:vAlign w:val="center"/>
          </w:tcPr>
          <w:p>
            <w:pPr>
              <w:spacing w:after="20"/>
            </w:pPr>
            <w:r>
              <w:rPr>
                <w:sz w:val="20"/>
                <w:szCs w:val="20"/>
              </w:rPr>
              <w:t>Data ownership/lineage, not runtime action authorization</w:t>
            </w:r>
          </w:p>
        </w:tc>
      </w:tr>
      <w:tr>
        <w:tc>
          <w:tcPr>
            <w:tcW w:type="dxa" w:w="3780"/>
            <w:vAlign w:val="center"/>
          </w:tcPr>
          <w:p>
            <w:pPr>
              <w:spacing w:after="20"/>
            </w:pPr>
            <w:r>
              <w:rPr>
                <w:sz w:val="20"/>
                <w:szCs w:val="20"/>
              </w:rPr>
              <w:t>KServe V2 protocol</w:t>
            </w:r>
          </w:p>
        </w:tc>
        <w:tc>
          <w:tcPr>
            <w:tcW w:type="dxa" w:w="3780"/>
            <w:vAlign w:val="center"/>
          </w:tcPr>
          <w:p>
            <w:pPr>
              <w:spacing w:after="20"/>
            </w:pPr>
            <w:r>
              <w:rPr>
                <w:sz w:val="20"/>
                <w:szCs w:val="20"/>
              </w:rPr>
              <w:t>Open inference data-plane specification</w:t>
            </w:r>
          </w:p>
        </w:tc>
        <w:tc>
          <w:tcPr>
            <w:tcW w:type="dxa" w:w="3780"/>
            <w:vAlign w:val="center"/>
          </w:tcPr>
          <w:p>
            <w:pPr>
              <w:spacing w:after="20"/>
            </w:pPr>
            <w:r>
              <w:rPr>
                <w:sz w:val="20"/>
                <w:szCs w:val="20"/>
              </w:rPr>
              <w:t>Model-serving provider interface</w:t>
            </w:r>
          </w:p>
        </w:tc>
        <w:tc>
          <w:tcPr>
            <w:tcW w:type="dxa" w:w="3780"/>
            <w:vAlign w:val="center"/>
          </w:tcPr>
          <w:p>
            <w:pPr>
              <w:spacing w:after="20"/>
            </w:pPr>
            <w:r>
              <w:rPr>
                <w:sz w:val="20"/>
                <w:szCs w:val="20"/>
              </w:rPr>
              <w:t>Useful optional provider; insufficient as CAF's universal generative contract</w:t>
            </w:r>
          </w:p>
        </w:tc>
      </w:tr>
    </w:tbl>
    <w:p/>
    <w:p>
      <w:pPr>
        <w:pStyle w:val="Heading2"/>
      </w:pPr>
      <w:r>
        <w:t>4. Policy languages and authoring models</w:t>
      </w:r>
    </w:p>
    <w:p>
      <w:r>
        <w:t xml:space="preserve">Policy definition is a general software-governance problem, not an AI-agent-specific one. Agent systems make it more visible because tool calls combine identity, delegated purpose, changing context, untrusted content, and potentially irreversible effects. The underlying design question is the same as for API authorization, Kubernetes admission, infrastructure compliance, and enterprise access control: </w:t>
      </w:r>
      <w:r>
        <w:rPr>
          <w:b/>
        </w:rPr>
        <w:t>is policy merely selecting predefined behavior, or must authors express new decision logic?</w:t>
      </w:r>
    </w:p>
    <w:p>
      <w:pPr>
        <w:pStyle w:val="Heading3"/>
      </w:pPr>
      <w:r>
        <w:t>4.1 JSON/YAML is syntax, not policy semantics</w:t>
      </w:r>
    </w:p>
    <w:p>
      <w:r>
        <w:t>JSON and YAML can carry policies, but neither format defines policy behavior. They do not specify attribute lookup, missing values, type coercion, precedence, conflict resolution, default allow/deny, approval, explanations, or enforcement. Those semantics come from a schema, evaluator, or embedded language.</w:t>
      </w:r>
    </w:p>
    <w:tbl>
      <w:tblPr>
        <w:tblStyle w:val="TableGrid"/>
        <w:tblW w:type="auto" w:w="0"/>
        <w:jc w:val="center"/>
        <w:tblLayout w:type="autofit"/>
        <w:tblLook w:firstColumn="1" w:firstRow="1" w:lastColumn="0" w:lastRow="0" w:noHBand="0" w:noVBand="1" w:val="04A0"/>
      </w:tblPr>
      <w:tblGrid>
        <w:gridCol w:w="3780"/>
        <w:gridCol w:w="3780"/>
        <w:gridCol w:w="3780"/>
        <w:gridCol w:w="3780"/>
      </w:tblGrid>
      <w:tr>
        <w:trPr>
          <w:tblHeader w:val="true"/>
        </w:trPr>
        <w:tc>
          <w:tcPr>
            <w:tcW w:type="dxa" w:w="3780"/>
            <w:vAlign w:val="center"/>
            <w:shd w:fill="D9EAF7"/>
          </w:tcPr>
          <w:p>
            <w:pPr>
              <w:spacing w:after="20"/>
            </w:pPr>
            <w:r>
              <w:rPr>
                <w:b/>
                <w:sz w:val="20"/>
                <w:szCs w:val="20"/>
              </w:rPr>
              <w:t>Layer</w:t>
            </w:r>
          </w:p>
        </w:tc>
        <w:tc>
          <w:tcPr>
            <w:tcW w:type="dxa" w:w="3780"/>
            <w:vAlign w:val="center"/>
            <w:shd w:fill="D9EAF7"/>
          </w:tcPr>
          <w:p>
            <w:pPr>
              <w:spacing w:after="20"/>
            </w:pPr>
            <w:r>
              <w:rPr>
                <w:b/>
                <w:sz w:val="20"/>
                <w:szCs w:val="20"/>
              </w:rPr>
              <w:t>Purpose</w:t>
            </w:r>
          </w:p>
        </w:tc>
        <w:tc>
          <w:tcPr>
            <w:tcW w:type="dxa" w:w="3780"/>
            <w:vAlign w:val="center"/>
            <w:shd w:fill="D9EAF7"/>
          </w:tcPr>
          <w:p>
            <w:pPr>
              <w:spacing w:after="20"/>
            </w:pPr>
            <w:r>
              <w:rPr>
                <w:b/>
                <w:sz w:val="20"/>
                <w:szCs w:val="20"/>
              </w:rPr>
              <w:t>Examples</w:t>
            </w:r>
          </w:p>
        </w:tc>
        <w:tc>
          <w:tcPr>
            <w:tcW w:type="dxa" w:w="3780"/>
            <w:vAlign w:val="center"/>
            <w:shd w:fill="D9EAF7"/>
          </w:tcPr>
          <w:p>
            <w:pPr>
              <w:spacing w:after="20"/>
            </w:pPr>
            <w:r>
              <w:rPr>
                <w:b/>
                <w:sz w:val="20"/>
                <w:szCs w:val="20"/>
              </w:rPr>
              <w:t>Key boundary</w:t>
            </w:r>
          </w:p>
        </w:tc>
      </w:tr>
      <w:tr>
        <w:tc>
          <w:tcPr>
            <w:tcW w:type="dxa" w:w="3780"/>
            <w:vAlign w:val="center"/>
          </w:tcPr>
          <w:p>
            <w:pPr>
              <w:spacing w:after="20"/>
            </w:pPr>
            <w:r>
              <w:rPr>
                <w:sz w:val="20"/>
                <w:szCs w:val="20"/>
              </w:rPr>
              <w:t>Serialization</w:t>
            </w:r>
          </w:p>
        </w:tc>
        <w:tc>
          <w:tcPr>
            <w:tcW w:type="dxa" w:w="3780"/>
            <w:vAlign w:val="center"/>
          </w:tcPr>
          <w:p>
            <w:pPr>
              <w:spacing w:after="20"/>
            </w:pPr>
            <w:r>
              <w:rPr>
                <w:sz w:val="20"/>
                <w:szCs w:val="20"/>
              </w:rPr>
              <w:t>Encodes data or an abstract syntax tree</w:t>
            </w:r>
          </w:p>
        </w:tc>
        <w:tc>
          <w:tcPr>
            <w:tcW w:type="dxa" w:w="3780"/>
            <w:vAlign w:val="center"/>
          </w:tcPr>
          <w:p>
            <w:pPr>
              <w:spacing w:after="20"/>
            </w:pPr>
            <w:r>
              <w:rPr>
                <w:sz w:val="20"/>
                <w:szCs w:val="20"/>
              </w:rPr>
              <w:t>JSON, YAML, Protobuf</w:t>
            </w:r>
          </w:p>
        </w:tc>
        <w:tc>
          <w:tcPr>
            <w:tcW w:type="dxa" w:w="3780"/>
            <w:vAlign w:val="center"/>
          </w:tcPr>
          <w:p>
            <w:pPr>
              <w:spacing w:after="20"/>
            </w:pPr>
            <w:r>
              <w:rPr>
                <w:sz w:val="20"/>
                <w:szCs w:val="20"/>
              </w:rPr>
              <w:t>Does not define policy meaning</w:t>
            </w:r>
          </w:p>
        </w:tc>
      </w:tr>
      <w:tr>
        <w:tc>
          <w:tcPr>
            <w:tcW w:type="dxa" w:w="3780"/>
            <w:vAlign w:val="center"/>
          </w:tcPr>
          <w:p>
            <w:pPr>
              <w:spacing w:after="20"/>
            </w:pPr>
            <w:r>
              <w:rPr>
                <w:sz w:val="20"/>
                <w:szCs w:val="20"/>
              </w:rPr>
              <w:t>Structured policy model</w:t>
            </w:r>
          </w:p>
        </w:tc>
        <w:tc>
          <w:tcPr>
            <w:tcW w:type="dxa" w:w="3780"/>
            <w:vAlign w:val="center"/>
          </w:tcPr>
          <w:p>
            <w:pPr>
              <w:spacing w:after="20"/>
            </w:pPr>
            <w:r>
              <w:rPr>
                <w:sz w:val="20"/>
                <w:szCs w:val="20"/>
              </w:rPr>
              <w:t>Selects from product-defined checks and effects</w:t>
            </w:r>
          </w:p>
        </w:tc>
        <w:tc>
          <w:tcPr>
            <w:tcW w:type="dxa" w:w="3780"/>
            <w:vAlign w:val="center"/>
          </w:tcPr>
          <w:p>
            <w:pPr>
              <w:spacing w:after="20"/>
            </w:pPr>
            <w:r>
              <w:rPr>
                <w:sz w:val="20"/>
                <w:szCs w:val="20"/>
              </w:rPr>
              <w:t>allowlists, thresholds, rule records</w:t>
            </w:r>
          </w:p>
        </w:tc>
        <w:tc>
          <w:tcPr>
            <w:tcW w:type="dxa" w:w="3780"/>
            <w:vAlign w:val="center"/>
          </w:tcPr>
          <w:p>
            <w:pPr>
              <w:spacing w:after="20"/>
            </w:pPr>
            <w:r>
              <w:rPr>
                <w:sz w:val="20"/>
                <w:szCs w:val="20"/>
              </w:rPr>
              <w:t>Flexible only within the predefined schema</w:t>
            </w:r>
          </w:p>
        </w:tc>
      </w:tr>
      <w:tr>
        <w:tc>
          <w:tcPr>
            <w:tcW w:type="dxa" w:w="3780"/>
            <w:vAlign w:val="center"/>
          </w:tcPr>
          <w:p>
            <w:pPr>
              <w:spacing w:after="20"/>
            </w:pPr>
            <w:r>
              <w:rPr>
                <w:sz w:val="20"/>
                <w:szCs w:val="20"/>
              </w:rPr>
              <w:t>Expression language</w:t>
            </w:r>
          </w:p>
        </w:tc>
        <w:tc>
          <w:tcPr>
            <w:tcW w:type="dxa" w:w="3780"/>
            <w:vAlign w:val="center"/>
          </w:tcPr>
          <w:p>
            <w:pPr>
              <w:spacing w:after="20"/>
            </w:pPr>
            <w:r>
              <w:rPr>
                <w:sz w:val="20"/>
                <w:szCs w:val="20"/>
              </w:rPr>
              <w:t>Adds bounded predicates inside a host model</w:t>
            </w:r>
          </w:p>
        </w:tc>
        <w:tc>
          <w:tcPr>
            <w:tcW w:type="dxa" w:w="3780"/>
            <w:vAlign w:val="center"/>
          </w:tcPr>
          <w:p>
            <w:pPr>
              <w:spacing w:after="20"/>
            </w:pPr>
            <w:r>
              <w:rPr>
                <w:sz w:val="20"/>
                <w:szCs w:val="20"/>
              </w:rPr>
              <w:t>CEL, JMESPath</w:t>
            </w:r>
          </w:p>
        </w:tc>
        <w:tc>
          <w:tcPr>
            <w:tcW w:type="dxa" w:w="3780"/>
            <w:vAlign w:val="center"/>
          </w:tcPr>
          <w:p>
            <w:pPr>
              <w:spacing w:after="20"/>
            </w:pPr>
            <w:r>
              <w:rPr>
                <w:sz w:val="20"/>
                <w:szCs w:val="20"/>
              </w:rPr>
              <w:t>Host still defines decisions and lifecycle</w:t>
            </w:r>
          </w:p>
        </w:tc>
      </w:tr>
      <w:tr>
        <w:tc>
          <w:tcPr>
            <w:tcW w:type="dxa" w:w="3780"/>
            <w:vAlign w:val="center"/>
          </w:tcPr>
          <w:p>
            <w:pPr>
              <w:spacing w:after="20"/>
            </w:pPr>
            <w:r>
              <w:rPr>
                <w:sz w:val="20"/>
                <w:szCs w:val="20"/>
              </w:rPr>
              <w:t>Policy DSL</w:t>
            </w:r>
          </w:p>
        </w:tc>
        <w:tc>
          <w:tcPr>
            <w:tcW w:type="dxa" w:w="3780"/>
            <w:vAlign w:val="center"/>
          </w:tcPr>
          <w:p>
            <w:pPr>
              <w:spacing w:after="20"/>
            </w:pPr>
            <w:r>
              <w:rPr>
                <w:sz w:val="20"/>
                <w:szCs w:val="20"/>
              </w:rPr>
              <w:t>Defines composable decision logic</w:t>
            </w:r>
          </w:p>
        </w:tc>
        <w:tc>
          <w:tcPr>
            <w:tcW w:type="dxa" w:w="3780"/>
            <w:vAlign w:val="center"/>
          </w:tcPr>
          <w:p>
            <w:pPr>
              <w:spacing w:after="20"/>
            </w:pPr>
            <w:r>
              <w:rPr>
                <w:sz w:val="20"/>
                <w:szCs w:val="20"/>
              </w:rPr>
              <w:t>Rego, Cedar, Polar, Sentinel</w:t>
            </w:r>
          </w:p>
        </w:tc>
        <w:tc>
          <w:tcPr>
            <w:tcW w:type="dxa" w:w="3780"/>
            <w:vAlign w:val="center"/>
          </w:tcPr>
          <w:p>
            <w:pPr>
              <w:spacing w:after="20"/>
            </w:pPr>
            <w:r>
              <w:rPr>
                <w:sz w:val="20"/>
                <w:szCs w:val="20"/>
              </w:rPr>
              <w:t>Needs runtime, tooling, and administration</w:t>
            </w:r>
          </w:p>
        </w:tc>
      </w:tr>
      <w:tr>
        <w:tc>
          <w:tcPr>
            <w:tcW w:type="dxa" w:w="3780"/>
            <w:vAlign w:val="center"/>
          </w:tcPr>
          <w:p>
            <w:pPr>
              <w:spacing w:after="20"/>
            </w:pPr>
            <w:r>
              <w:rPr>
                <w:sz w:val="20"/>
                <w:szCs w:val="20"/>
              </w:rPr>
              <w:t>Relationship model</w:t>
            </w:r>
          </w:p>
        </w:tc>
        <w:tc>
          <w:tcPr>
            <w:tcW w:type="dxa" w:w="3780"/>
            <w:vAlign w:val="center"/>
          </w:tcPr>
          <w:p>
            <w:pPr>
              <w:spacing w:after="20"/>
            </w:pPr>
            <w:r>
              <w:rPr>
                <w:sz w:val="20"/>
                <w:szCs w:val="20"/>
              </w:rPr>
              <w:t>Defines graph permissions</w:t>
            </w:r>
          </w:p>
        </w:tc>
        <w:tc>
          <w:tcPr>
            <w:tcW w:type="dxa" w:w="3780"/>
            <w:vAlign w:val="center"/>
          </w:tcPr>
          <w:p>
            <w:pPr>
              <w:spacing w:after="20"/>
            </w:pPr>
            <w:r>
              <w:rPr>
                <w:sz w:val="20"/>
                <w:szCs w:val="20"/>
              </w:rPr>
              <w:t>OpenFGA, SpiceDB</w:t>
            </w:r>
          </w:p>
        </w:tc>
        <w:tc>
          <w:tcPr>
            <w:tcW w:type="dxa" w:w="3780"/>
            <w:vAlign w:val="center"/>
          </w:tcPr>
          <w:p>
            <w:pPr>
              <w:spacing w:after="20"/>
            </w:pPr>
            <w:r>
              <w:rPr>
                <w:sz w:val="20"/>
                <w:szCs w:val="20"/>
              </w:rPr>
              <w:t>Specialized for reachability, not arbitrary policy</w:t>
            </w:r>
          </w:p>
        </w:tc>
      </w:tr>
      <w:tr>
        <w:tc>
          <w:tcPr>
            <w:tcW w:type="dxa" w:w="3780"/>
            <w:vAlign w:val="center"/>
          </w:tcPr>
          <w:p>
            <w:pPr>
              <w:spacing w:after="20"/>
            </w:pPr>
            <w:r>
              <w:rPr>
                <w:sz w:val="20"/>
                <w:szCs w:val="20"/>
              </w:rPr>
              <w:t>Decision API</w:t>
            </w:r>
          </w:p>
        </w:tc>
        <w:tc>
          <w:tcPr>
            <w:tcW w:type="dxa" w:w="3780"/>
            <w:vAlign w:val="center"/>
          </w:tcPr>
          <w:p>
            <w:pPr>
              <w:spacing w:after="20"/>
            </w:pPr>
            <w:r>
              <w:rPr>
                <w:sz w:val="20"/>
                <w:szCs w:val="20"/>
              </w:rPr>
              <w:t>Carries requests and decisions</w:t>
            </w:r>
          </w:p>
        </w:tc>
        <w:tc>
          <w:tcPr>
            <w:tcW w:type="dxa" w:w="3780"/>
            <w:vAlign w:val="center"/>
          </w:tcPr>
          <w:p>
            <w:pPr>
              <w:spacing w:after="20"/>
            </w:pPr>
            <w:r>
              <w:rPr>
                <w:sz w:val="20"/>
                <w:szCs w:val="20"/>
              </w:rPr>
              <w:t>OpenID AuthZEN</w:t>
            </w:r>
          </w:p>
        </w:tc>
        <w:tc>
          <w:tcPr>
            <w:tcW w:type="dxa" w:w="3780"/>
            <w:vAlign w:val="center"/>
          </w:tcPr>
          <w:p>
            <w:pPr>
              <w:spacing w:after="20"/>
            </w:pPr>
            <w:r>
              <w:rPr>
                <w:sz w:val="20"/>
                <w:szCs w:val="20"/>
              </w:rPr>
              <w:t>Does not prescribe language or enforcement</w:t>
            </w:r>
          </w:p>
        </w:tc>
      </w:tr>
      <w:tr>
        <w:tc>
          <w:tcPr>
            <w:tcW w:type="dxa" w:w="3780"/>
            <w:vAlign w:val="center"/>
          </w:tcPr>
          <w:p>
            <w:pPr>
              <w:spacing w:after="20"/>
            </w:pPr>
            <w:r>
              <w:rPr>
                <w:sz w:val="20"/>
                <w:szCs w:val="20"/>
              </w:rPr>
              <w:t>Authoring interface</w:t>
            </w:r>
          </w:p>
        </w:tc>
        <w:tc>
          <w:tcPr>
            <w:tcW w:type="dxa" w:w="3780"/>
            <w:vAlign w:val="center"/>
          </w:tcPr>
          <w:p>
            <w:pPr>
              <w:spacing w:after="20"/>
            </w:pPr>
            <w:r>
              <w:rPr>
                <w:sz w:val="20"/>
                <w:szCs w:val="20"/>
              </w:rPr>
              <w:t>Captures human intent</w:t>
            </w:r>
          </w:p>
        </w:tc>
        <w:tc>
          <w:tcPr>
            <w:tcW w:type="dxa" w:w="3780"/>
            <w:vAlign w:val="center"/>
          </w:tcPr>
          <w:p>
            <w:pPr>
              <w:spacing w:after="20"/>
            </w:pPr>
            <w:r>
              <w:rPr>
                <w:sz w:val="20"/>
                <w:szCs w:val="20"/>
              </w:rPr>
              <w:t>UI forms, templates, natural language</w:t>
            </w:r>
          </w:p>
        </w:tc>
        <w:tc>
          <w:tcPr>
            <w:tcW w:type="dxa" w:w="3780"/>
            <w:vAlign w:val="center"/>
          </w:tcPr>
          <w:p>
            <w:pPr>
              <w:spacing w:after="20"/>
            </w:pPr>
            <w:r>
              <w:rPr>
                <w:sz w:val="20"/>
                <w:szCs w:val="20"/>
              </w:rPr>
              <w:t>Must map to reviewable semantics</w:t>
            </w:r>
          </w:p>
        </w:tc>
      </w:tr>
    </w:tbl>
    <w:p/>
    <w:p>
      <w:r>
        <w:t xml:space="preserve">A nested YAML document containing </w:t>
      </w:r>
      <w:r>
        <w:rPr>
          <w:rFonts w:ascii="Consolas" w:hAnsi="Consolas"/>
          <w:sz w:val="20"/>
        </w:rPr>
        <w:t>all</w:t>
      </w:r>
      <w:r>
        <w:t xml:space="preserve">, </w:t>
      </w:r>
      <w:r>
        <w:rPr>
          <w:rFonts w:ascii="Consolas" w:hAnsi="Consolas"/>
          <w:sz w:val="20"/>
        </w:rPr>
        <w:t>any</w:t>
      </w:r>
      <w:r>
        <w:t xml:space="preserve">, </w:t>
      </w:r>
      <w:r>
        <w:rPr>
          <w:rFonts w:ascii="Consolas" w:hAnsi="Consolas"/>
          <w:sz w:val="20"/>
        </w:rPr>
        <w:t>not</w:t>
      </w:r>
      <w:r>
        <w:t>, selectors, variables, and effects is already a small DSL represented as YAML. Calling it “configuration” does not eliminate the need to specify and test its language semantics.</w:t>
      </w:r>
    </w:p>
    <w:p>
      <w:pPr>
        <w:pStyle w:val="Heading3"/>
      </w:pPr>
      <w:r>
        <w:t>4.2 When JSON/YAML is enough</w:t>
      </w:r>
    </w:p>
    <w:p>
      <w:r>
        <w:t>Schema-governed JSON/YAML is appropriate when:</w:t>
      </w:r>
    </w:p>
    <w:p>
      <w:pPr>
        <w:pStyle w:val="ListBullet"/>
      </w:pPr>
      <w:r>
        <w:t>the decision vocabulary is closed, such as tool allowlists, quotas, labels, thresholds, and fixed approval classes;</w:t>
      </w:r>
    </w:p>
    <w:p>
      <w:pPr>
        <w:pStyle w:val="ListBullet"/>
      </w:pPr>
      <w:r>
        <w:t>rules are shallow and rely on request-local attributes;</w:t>
      </w:r>
    </w:p>
    <w:p>
      <w:pPr>
        <w:pStyle w:val="ListBullet"/>
      </w:pPr>
      <w:r>
        <w:t>combination is simple and explicit, such as deny-overrides or first-match;</w:t>
      </w:r>
    </w:p>
    <w:p>
      <w:pPr>
        <w:pStyle w:val="ListBullet"/>
      </w:pPr>
      <w:r>
        <w:t>effects are fixed, usually allow, deny, require approval, redact, route, or log;</w:t>
      </w:r>
    </w:p>
    <w:p>
      <w:pPr>
        <w:pStyle w:val="ListBullet"/>
      </w:pPr>
      <w:r>
        <w:t>the complete document can be validated before activation; and</w:t>
      </w:r>
    </w:p>
    <w:p>
      <w:pPr>
        <w:pStyle w:val="ListBullet"/>
      </w:pPr>
      <w:r>
        <w:t>operators benefit more from forms and schema-aware editors than from programming abstractions.</w:t>
      </w:r>
    </w:p>
    <w:p>
      <w:r>
        <w:t>This constrained model can be the right permanent product interface. It lowers learning cost, enables exhaustive validation, bounds performance, simplifies explanation, and permits controlled mapping to multiple backends. It should still include a versioned schema, rejected unknown fields, explicit defaults, policy IDs and versions, deterministic error behavior, unit tests, simulation, and activation history.</w:t>
      </w:r>
    </w:p>
    <w:p>
      <w:pPr>
        <w:pStyle w:val="Heading3"/>
      </w:pPr>
      <w:r>
        <w:t>4.3 When a dedicated language is justified</w:t>
      </w:r>
    </w:p>
    <w:p>
      <w:r>
        <w:t>A dedicated DSL or expression language becomes valuable when authors need several of the following:</w:t>
      </w:r>
    </w:p>
    <w:p>
      <w:pPr>
        <w:pStyle w:val="ListBullet"/>
      </w:pPr>
      <w:r>
        <w:t>reusable derived facts and modules;</w:t>
      </w:r>
    </w:p>
    <w:p>
      <w:pPr>
        <w:pStyle w:val="ListBullet"/>
      </w:pPr>
      <w:r>
        <w:t>nested boolean logic, quantification, joins, or collection reasoning;</w:t>
      </w:r>
    </w:p>
    <w:p>
      <w:pPr>
        <w:pStyle w:val="ListBullet"/>
      </w:pPr>
      <w:r>
        <w:t>graph traversal and inherited permissions;</w:t>
      </w:r>
    </w:p>
    <w:p>
      <w:pPr>
        <w:pStyle w:val="ListBullet"/>
      </w:pPr>
      <w:r>
        <w:t>explicit conflict, exception, priority, and obligation semantics;</w:t>
      </w:r>
    </w:p>
    <w:p>
      <w:pPr>
        <w:pStyle w:val="ListBullet"/>
      </w:pPr>
      <w:r>
        <w:t>static type/schema checking across rules;</w:t>
      </w:r>
    </w:p>
    <w:p>
      <w:pPr>
        <w:pStyle w:val="ListBullet"/>
      </w:pPr>
      <w:r>
        <w:t>partial evaluation or data filtering;</w:t>
      </w:r>
    </w:p>
    <w:p>
      <w:pPr>
        <w:pStyle w:val="ListBullet"/>
      </w:pPr>
      <w:r>
        <w:t>structured outputs beyond allow/deny;</w:t>
      </w:r>
    </w:p>
    <w:p>
      <w:pPr>
        <w:pStyle w:val="ListBullet"/>
      </w:pPr>
      <w:r>
        <w:t>independent policy ownership, versioning, distribution, and promotion; or</w:t>
      </w:r>
    </w:p>
    <w:p>
      <w:pPr>
        <w:pStyle w:val="ListBullet"/>
      </w:pPr>
      <w:r>
        <w:t>analysis such as unreachable-rule detection, coverage, explanation, and impact simulation.</w:t>
      </w:r>
    </w:p>
    <w:p>
      <w:r>
        <w:t xml:space="preserve">Repeated additions of </w:t>
      </w:r>
      <w:r>
        <w:rPr>
          <w:rFonts w:ascii="Consolas" w:hAnsi="Consolas"/>
          <w:sz w:val="20"/>
        </w:rPr>
        <w:t>all</w:t>
      </w:r>
      <w:r>
        <w:t>/</w:t>
      </w:r>
      <w:r>
        <w:rPr>
          <w:rFonts w:ascii="Consolas" w:hAnsi="Consolas"/>
          <w:sz w:val="20"/>
        </w:rPr>
        <w:t>any</w:t>
      </w:r>
      <w:r>
        <w:t>/</w:t>
      </w:r>
      <w:r>
        <w:rPr>
          <w:rFonts w:ascii="Consolas" w:hAnsi="Consolas"/>
          <w:sz w:val="20"/>
        </w:rPr>
        <w:t>not</w:t>
      </w:r>
      <w:r>
        <w:t>, path expressions, references, macros, priorities, imports, and custom functions are a warning that a “simple” configuration schema has become an accidental language without mature tooling.</w:t>
      </w:r>
    </w:p>
    <w:p>
      <w:pPr>
        <w:pStyle w:val="Heading3"/>
      </w:pPr>
      <w:r>
        <w:t>4.4 Main language families</w:t>
      </w:r>
    </w:p>
    <w:tbl>
      <w:tblPr>
        <w:tblStyle w:val="TableGrid"/>
        <w:tblW w:type="auto" w:w="0"/>
        <w:jc w:val="center"/>
        <w:tblLayout w:type="autofit"/>
        <w:tblLook w:firstColumn="1" w:firstRow="1" w:lastColumn="0" w:lastRow="0" w:noHBand="0" w:noVBand="1" w:val="04A0"/>
      </w:tblPr>
      <w:tblGrid>
        <w:gridCol w:w="3780"/>
        <w:gridCol w:w="3780"/>
        <w:gridCol w:w="3780"/>
        <w:gridCol w:w="3780"/>
      </w:tblGrid>
      <w:tr>
        <w:trPr>
          <w:tblHeader w:val="true"/>
        </w:trPr>
        <w:tc>
          <w:tcPr>
            <w:tcW w:type="dxa" w:w="3780"/>
            <w:vAlign w:val="center"/>
            <w:shd w:fill="D9EAF7"/>
          </w:tcPr>
          <w:p>
            <w:pPr>
              <w:spacing w:after="20"/>
            </w:pPr>
            <w:r>
              <w:rPr>
                <w:b/>
                <w:sz w:val="20"/>
                <w:szCs w:val="20"/>
              </w:rPr>
              <w:t>Technology</w:t>
            </w:r>
          </w:p>
        </w:tc>
        <w:tc>
          <w:tcPr>
            <w:tcW w:type="dxa" w:w="3780"/>
            <w:vAlign w:val="center"/>
            <w:shd w:fill="D9EAF7"/>
          </w:tcPr>
          <w:p>
            <w:pPr>
              <w:spacing w:after="20"/>
            </w:pPr>
            <w:r>
              <w:rPr>
                <w:b/>
                <w:sz w:val="20"/>
                <w:szCs w:val="20"/>
              </w:rPr>
              <w:t>Model and strengths</w:t>
            </w:r>
          </w:p>
        </w:tc>
        <w:tc>
          <w:tcPr>
            <w:tcW w:type="dxa" w:w="3780"/>
            <w:vAlign w:val="center"/>
            <w:shd w:fill="D9EAF7"/>
          </w:tcPr>
          <w:p>
            <w:pPr>
              <w:spacing w:after="20"/>
            </w:pPr>
            <w:r>
              <w:rPr>
                <w:b/>
                <w:sz w:val="20"/>
                <w:szCs w:val="20"/>
              </w:rPr>
              <w:t>Best fit</w:t>
            </w:r>
          </w:p>
        </w:tc>
        <w:tc>
          <w:tcPr>
            <w:tcW w:type="dxa" w:w="3780"/>
            <w:vAlign w:val="center"/>
            <w:shd w:fill="D9EAF7"/>
          </w:tcPr>
          <w:p>
            <w:pPr>
              <w:spacing w:after="20"/>
            </w:pPr>
            <w:r>
              <w:rPr>
                <w:b/>
                <w:sz w:val="20"/>
                <w:szCs w:val="20"/>
              </w:rPr>
              <w:t>Main tradeoff</w:t>
            </w:r>
          </w:p>
        </w:tc>
      </w:tr>
      <w:tr>
        <w:tc>
          <w:tcPr>
            <w:tcW w:type="dxa" w:w="3780"/>
            <w:vAlign w:val="center"/>
          </w:tcPr>
          <w:p>
            <w:pPr>
              <w:spacing w:after="20"/>
            </w:pPr>
            <w:hyperlink r:id="rId63">
              <w:r>
                <w:rPr>
                  <w:color w:val="0563C1"/>
                  <w:u w:val="single"/>
                  <w:sz w:val="20"/>
                  <w:szCs w:val="20"/>
                </w:rPr>
                <w:t>OPA/Rego</w:t>
              </w:r>
            </w:hyperlink>
          </w:p>
        </w:tc>
        <w:tc>
          <w:tcPr>
            <w:tcW w:type="dxa" w:w="3780"/>
            <w:vAlign w:val="center"/>
          </w:tcPr>
          <w:p>
            <w:pPr>
              <w:spacing w:after="20"/>
            </w:pPr>
            <w:r>
              <w:rPr>
                <w:sz w:val="20"/>
                <w:szCs w:val="20"/>
              </w:rPr>
              <w:t>General declarative logic over structured data; tests, bundles, explanations, partial evaluation</w:t>
            </w:r>
          </w:p>
        </w:tc>
        <w:tc>
          <w:tcPr>
            <w:tcW w:type="dxa" w:w="3780"/>
            <w:vAlign w:val="center"/>
          </w:tcPr>
          <w:p>
            <w:pPr>
              <w:spacing w:after="20"/>
            </w:pPr>
            <w:r>
              <w:rPr>
                <w:sz w:val="20"/>
                <w:szCs w:val="20"/>
              </w:rPr>
              <w:t>Heterogeneous authorization, admission, compliance, routing</w:t>
            </w:r>
          </w:p>
        </w:tc>
        <w:tc>
          <w:tcPr>
            <w:tcW w:type="dxa" w:w="3780"/>
            <w:vAlign w:val="center"/>
          </w:tcPr>
          <w:p>
            <w:pPr>
              <w:spacing w:after="20"/>
            </w:pPr>
            <w:r>
              <w:rPr>
                <w:sz w:val="20"/>
                <w:szCs w:val="20"/>
              </w:rPr>
              <w:t>Learning curve and broad semantic surface</w:t>
            </w:r>
          </w:p>
        </w:tc>
      </w:tr>
      <w:tr>
        <w:tc>
          <w:tcPr>
            <w:tcW w:type="dxa" w:w="3780"/>
            <w:vAlign w:val="center"/>
          </w:tcPr>
          <w:p>
            <w:pPr>
              <w:spacing w:after="20"/>
            </w:pPr>
            <w:hyperlink r:id="rId35">
              <w:r>
                <w:rPr>
                  <w:color w:val="0563C1"/>
                  <w:u w:val="single"/>
                  <w:sz w:val="20"/>
                  <w:szCs w:val="20"/>
                </w:rPr>
                <w:t>Cedar</w:t>
              </w:r>
            </w:hyperlink>
          </w:p>
        </w:tc>
        <w:tc>
          <w:tcPr>
            <w:tcW w:type="dxa" w:w="3780"/>
            <w:vAlign w:val="center"/>
          </w:tcPr>
          <w:p>
            <w:pPr>
              <w:spacing w:after="20"/>
            </w:pPr>
            <w:r>
              <w:rPr>
                <w:sz w:val="20"/>
                <w:szCs w:val="20"/>
              </w:rPr>
              <w:t>Authorization-specific principal/action/resource/context model; schemas; default deny; forbid overrides permit</w:t>
            </w:r>
          </w:p>
        </w:tc>
        <w:tc>
          <w:tcPr>
            <w:tcW w:type="dxa" w:w="3780"/>
            <w:vAlign w:val="center"/>
          </w:tcPr>
          <w:p>
            <w:pPr>
              <w:spacing w:after="20"/>
            </w:pPr>
            <w:r>
              <w:rPr>
                <w:sz w:val="20"/>
                <w:szCs w:val="20"/>
              </w:rPr>
              <w:t>Application and tool authorization needing analyzability</w:t>
            </w:r>
          </w:p>
        </w:tc>
        <w:tc>
          <w:tcPr>
            <w:tcW w:type="dxa" w:w="3780"/>
            <w:vAlign w:val="center"/>
          </w:tcPr>
          <w:p>
            <w:pPr>
              <w:spacing w:after="20"/>
            </w:pPr>
            <w:r>
              <w:rPr>
                <w:sz w:val="20"/>
                <w:szCs w:val="20"/>
              </w:rPr>
              <w:t>Narrower than Rego for arbitrary transformations</w:t>
            </w:r>
          </w:p>
        </w:tc>
      </w:tr>
      <w:tr>
        <w:tc>
          <w:tcPr>
            <w:tcW w:type="dxa" w:w="3780"/>
            <w:vAlign w:val="center"/>
          </w:tcPr>
          <w:p>
            <w:pPr>
              <w:spacing w:after="20"/>
            </w:pPr>
            <w:hyperlink r:id="rId64">
              <w:r>
                <w:rPr>
                  <w:color w:val="0563C1"/>
                  <w:u w:val="single"/>
                  <w:sz w:val="20"/>
                  <w:szCs w:val="20"/>
                </w:rPr>
                <w:t>CEL</w:t>
              </w:r>
            </w:hyperlink>
          </w:p>
        </w:tc>
        <w:tc>
          <w:tcPr>
            <w:tcW w:type="dxa" w:w="3780"/>
            <w:vAlign w:val="center"/>
          </w:tcPr>
          <w:p>
            <w:pPr>
              <w:spacing w:after="20"/>
            </w:pPr>
            <w:r>
              <w:rPr>
                <w:sz w:val="20"/>
                <w:szCs w:val="20"/>
              </w:rPr>
              <w:t>Safe, portable, bounded expression language embedded by a host</w:t>
            </w:r>
          </w:p>
        </w:tc>
        <w:tc>
          <w:tcPr>
            <w:tcW w:type="dxa" w:w="3780"/>
            <w:vAlign w:val="center"/>
          </w:tcPr>
          <w:p>
            <w:pPr>
              <w:spacing w:after="20"/>
            </w:pPr>
            <w:r>
              <w:rPr>
                <w:sz w:val="20"/>
                <w:szCs w:val="20"/>
              </w:rPr>
              <w:t>Predicates within an existing resource/rule model</w:t>
            </w:r>
          </w:p>
        </w:tc>
        <w:tc>
          <w:tcPr>
            <w:tcW w:type="dxa" w:w="3780"/>
            <w:vAlign w:val="center"/>
          </w:tcPr>
          <w:p>
            <w:pPr>
              <w:spacing w:after="20"/>
            </w:pPr>
            <w:r>
              <w:rPr>
                <w:sz w:val="20"/>
                <w:szCs w:val="20"/>
              </w:rPr>
              <w:t>Not a policy lifecycle or combining system by itself</w:t>
            </w:r>
          </w:p>
        </w:tc>
      </w:tr>
      <w:tr>
        <w:tc>
          <w:tcPr>
            <w:tcW w:type="dxa" w:w="3780"/>
            <w:vAlign w:val="center"/>
          </w:tcPr>
          <w:p>
            <w:pPr>
              <w:spacing w:after="20"/>
            </w:pPr>
            <w:hyperlink r:id="rId65">
              <w:r>
                <w:rPr>
                  <w:color w:val="0563C1"/>
                  <w:u w:val="single"/>
                  <w:sz w:val="20"/>
                  <w:szCs w:val="20"/>
                </w:rPr>
                <w:t>OpenFGA</w:t>
              </w:r>
            </w:hyperlink>
            <w:r>
              <w:rPr>
                <w:sz w:val="20"/>
                <w:szCs w:val="20"/>
              </w:rPr>
              <w:t xml:space="preserve"> / </w:t>
            </w:r>
            <w:hyperlink r:id="rId66">
              <w:r>
                <w:rPr>
                  <w:color w:val="0563C1"/>
                  <w:u w:val="single"/>
                  <w:sz w:val="20"/>
                  <w:szCs w:val="20"/>
                </w:rPr>
                <w:t>SpiceDB</w:t>
              </w:r>
            </w:hyperlink>
          </w:p>
        </w:tc>
        <w:tc>
          <w:tcPr>
            <w:tcW w:type="dxa" w:w="3780"/>
            <w:vAlign w:val="center"/>
          </w:tcPr>
          <w:p>
            <w:pPr>
              <w:spacing w:after="20"/>
            </w:pPr>
            <w:r>
              <w:rPr>
                <w:sz w:val="20"/>
                <w:szCs w:val="20"/>
              </w:rPr>
              <w:t>Relationship schemas and tuples for graph permissions</w:t>
            </w:r>
          </w:p>
        </w:tc>
        <w:tc>
          <w:tcPr>
            <w:tcW w:type="dxa" w:w="3780"/>
            <w:vAlign w:val="center"/>
          </w:tcPr>
          <w:p>
            <w:pPr>
              <w:spacing w:after="20"/>
            </w:pPr>
            <w:r>
              <w:rPr>
                <w:sz w:val="20"/>
                <w:szCs w:val="20"/>
              </w:rPr>
              <w:t>Organizations, folders, sharing, delegation, inheritance</w:t>
            </w:r>
          </w:p>
        </w:tc>
        <w:tc>
          <w:tcPr>
            <w:tcW w:type="dxa" w:w="3780"/>
            <w:vAlign w:val="center"/>
          </w:tcPr>
          <w:p>
            <w:pPr>
              <w:spacing w:after="20"/>
            </w:pPr>
            <w:r>
              <w:rPr>
                <w:sz w:val="20"/>
                <w:szCs w:val="20"/>
              </w:rPr>
              <w:t>Poor fit for arbitrary document/risk policy alone</w:t>
            </w:r>
          </w:p>
        </w:tc>
      </w:tr>
      <w:tr>
        <w:tc>
          <w:tcPr>
            <w:tcW w:type="dxa" w:w="3780"/>
            <w:vAlign w:val="center"/>
          </w:tcPr>
          <w:p>
            <w:pPr>
              <w:spacing w:after="20"/>
            </w:pPr>
            <w:hyperlink r:id="rId67">
              <w:r>
                <w:rPr>
                  <w:color w:val="0563C1"/>
                  <w:u w:val="single"/>
                  <w:sz w:val="20"/>
                  <w:szCs w:val="20"/>
                </w:rPr>
                <w:t>XACML</w:t>
              </w:r>
            </w:hyperlink>
          </w:p>
        </w:tc>
        <w:tc>
          <w:tcPr>
            <w:tcW w:type="dxa" w:w="3780"/>
            <w:vAlign w:val="center"/>
          </w:tcPr>
          <w:p>
            <w:pPr>
              <w:spacing w:after="20"/>
            </w:pPr>
            <w:r>
              <w:rPr>
                <w:sz w:val="20"/>
                <w:szCs w:val="20"/>
              </w:rPr>
              <w:t>Standard ABAC model, combining algorithms, obligations, PDP/PEP architecture</w:t>
            </w:r>
          </w:p>
        </w:tc>
        <w:tc>
          <w:tcPr>
            <w:tcW w:type="dxa" w:w="3780"/>
            <w:vAlign w:val="center"/>
          </w:tcPr>
          <w:p>
            <w:pPr>
              <w:spacing w:after="20"/>
            </w:pPr>
            <w:r>
              <w:rPr>
                <w:sz w:val="20"/>
                <w:szCs w:val="20"/>
              </w:rPr>
              <w:t>Regulated enterprise authorization and interoperability</w:t>
            </w:r>
          </w:p>
        </w:tc>
        <w:tc>
          <w:tcPr>
            <w:tcW w:type="dxa" w:w="3780"/>
            <w:vAlign w:val="center"/>
          </w:tcPr>
          <w:p>
            <w:pPr>
              <w:spacing w:after="20"/>
            </w:pPr>
            <w:r>
              <w:rPr>
                <w:sz w:val="20"/>
                <w:szCs w:val="20"/>
              </w:rPr>
              <w:t>Verbose and operationally complex</w:t>
            </w:r>
          </w:p>
        </w:tc>
      </w:tr>
      <w:tr>
        <w:tc>
          <w:tcPr>
            <w:tcW w:type="dxa" w:w="3780"/>
            <w:vAlign w:val="center"/>
          </w:tcPr>
          <w:p>
            <w:pPr>
              <w:spacing w:after="20"/>
            </w:pPr>
            <w:hyperlink r:id="rId68">
              <w:r>
                <w:rPr>
                  <w:color w:val="0563C1"/>
                  <w:u w:val="single"/>
                  <w:sz w:val="20"/>
                  <w:szCs w:val="20"/>
                </w:rPr>
                <w:t>Casbin</w:t>
              </w:r>
            </w:hyperlink>
            <w:r>
              <w:rPr>
                <w:sz w:val="20"/>
                <w:szCs w:val="20"/>
              </w:rPr>
              <w:t xml:space="preserve"> / </w:t>
            </w:r>
            <w:hyperlink r:id="rId69">
              <w:r>
                <w:rPr>
                  <w:color w:val="0563C1"/>
                  <w:u w:val="single"/>
                  <w:sz w:val="20"/>
                  <w:szCs w:val="20"/>
                </w:rPr>
                <w:t>Oso Polar</w:t>
              </w:r>
            </w:hyperlink>
          </w:p>
        </w:tc>
        <w:tc>
          <w:tcPr>
            <w:tcW w:type="dxa" w:w="3780"/>
            <w:vAlign w:val="center"/>
          </w:tcPr>
          <w:p>
            <w:pPr>
              <w:spacing w:after="20"/>
            </w:pPr>
            <w:r>
              <w:rPr>
                <w:sz w:val="20"/>
                <w:szCs w:val="20"/>
              </w:rPr>
              <w:t>Configurable access-control model or application-oriented authorization DSL</w:t>
            </w:r>
          </w:p>
        </w:tc>
        <w:tc>
          <w:tcPr>
            <w:tcW w:type="dxa" w:w="3780"/>
            <w:vAlign w:val="center"/>
          </w:tcPr>
          <w:p>
            <w:pPr>
              <w:spacing w:after="20"/>
            </w:pPr>
            <w:r>
              <w:rPr>
                <w:sz w:val="20"/>
                <w:szCs w:val="20"/>
              </w:rPr>
              <w:t>Embedded application authorization</w:t>
            </w:r>
          </w:p>
        </w:tc>
        <w:tc>
          <w:tcPr>
            <w:tcW w:type="dxa" w:w="3780"/>
            <w:vAlign w:val="center"/>
          </w:tcPr>
          <w:p>
            <w:pPr>
              <w:spacing w:after="20"/>
            </w:pPr>
            <w:r>
              <w:rPr>
                <w:sz w:val="20"/>
                <w:szCs w:val="20"/>
              </w:rPr>
              <w:t>Portability and administration depend on host ecosystem</w:t>
            </w:r>
          </w:p>
        </w:tc>
      </w:tr>
      <w:tr>
        <w:tc>
          <w:tcPr>
            <w:tcW w:type="dxa" w:w="3780"/>
            <w:vAlign w:val="center"/>
          </w:tcPr>
          <w:p>
            <w:pPr>
              <w:spacing w:after="20"/>
            </w:pPr>
            <w:hyperlink r:id="rId43">
              <w:r>
                <w:rPr>
                  <w:color w:val="0563C1"/>
                  <w:u w:val="single"/>
                  <w:sz w:val="20"/>
                  <w:szCs w:val="20"/>
                </w:rPr>
                <w:t>Kyverno</w:t>
              </w:r>
            </w:hyperlink>
            <w:r>
              <w:rPr>
                <w:sz w:val="20"/>
                <w:szCs w:val="20"/>
              </w:rPr>
              <w:t xml:space="preserve"> / Kubernetes </w:t>
            </w:r>
            <w:hyperlink r:id="rId70">
              <w:r>
                <w:rPr>
                  <w:color w:val="0563C1"/>
                  <w:u w:val="single"/>
                  <w:sz w:val="20"/>
                  <w:szCs w:val="20"/>
                </w:rPr>
                <w:t>ValidatingAdmissionPolicy</w:t>
              </w:r>
            </w:hyperlink>
          </w:p>
        </w:tc>
        <w:tc>
          <w:tcPr>
            <w:tcW w:type="dxa" w:w="3780"/>
            <w:vAlign w:val="center"/>
          </w:tcPr>
          <w:p>
            <w:pPr>
              <w:spacing w:after="20"/>
            </w:pPr>
            <w:r>
              <w:rPr>
                <w:sz w:val="20"/>
                <w:szCs w:val="20"/>
              </w:rPr>
              <w:t>Domain policy resources in YAML, often with CEL/JMESPath expressions</w:t>
            </w:r>
          </w:p>
        </w:tc>
        <w:tc>
          <w:tcPr>
            <w:tcW w:type="dxa" w:w="3780"/>
            <w:vAlign w:val="center"/>
          </w:tcPr>
          <w:p>
            <w:pPr>
              <w:spacing w:after="20"/>
            </w:pPr>
            <w:r>
              <w:rPr>
                <w:sz w:val="20"/>
                <w:szCs w:val="20"/>
              </w:rPr>
              <w:t>Kubernetes admission, mutation, image and configuration policy</w:t>
            </w:r>
          </w:p>
        </w:tc>
        <w:tc>
          <w:tcPr>
            <w:tcW w:type="dxa" w:w="3780"/>
            <w:vAlign w:val="center"/>
          </w:tcPr>
          <w:p>
            <w:pPr>
              <w:spacing w:after="20"/>
            </w:pPr>
            <w:r>
              <w:rPr>
                <w:sz w:val="20"/>
                <w:szCs w:val="20"/>
              </w:rPr>
              <w:t>Domain-specific; not runtime tool authorization</w:t>
            </w:r>
          </w:p>
        </w:tc>
      </w:tr>
      <w:tr>
        <w:tc>
          <w:tcPr>
            <w:tcW w:type="dxa" w:w="3780"/>
            <w:vAlign w:val="center"/>
          </w:tcPr>
          <w:p>
            <w:pPr>
              <w:spacing w:after="20"/>
            </w:pPr>
            <w:hyperlink r:id="rId71">
              <w:r>
                <w:rPr>
                  <w:color w:val="0563C1"/>
                  <w:u w:val="single"/>
                  <w:sz w:val="20"/>
                  <w:szCs w:val="20"/>
                </w:rPr>
                <w:t>DMN/FEEL</w:t>
              </w:r>
            </w:hyperlink>
            <w:r>
              <w:rPr>
                <w:sz w:val="20"/>
                <w:szCs w:val="20"/>
              </w:rPr>
              <w:t xml:space="preserve"> / rule engines</w:t>
            </w:r>
          </w:p>
        </w:tc>
        <w:tc>
          <w:tcPr>
            <w:tcW w:type="dxa" w:w="3780"/>
            <w:vAlign w:val="center"/>
          </w:tcPr>
          <w:p>
            <w:pPr>
              <w:spacing w:after="20"/>
            </w:pPr>
            <w:r>
              <w:rPr>
                <w:sz w:val="20"/>
                <w:szCs w:val="20"/>
              </w:rPr>
              <w:t>Decision tables, business rules, and workflows</w:t>
            </w:r>
          </w:p>
        </w:tc>
        <w:tc>
          <w:tcPr>
            <w:tcW w:type="dxa" w:w="3780"/>
            <w:vAlign w:val="center"/>
          </w:tcPr>
          <w:p>
            <w:pPr>
              <w:spacing w:after="20"/>
            </w:pPr>
            <w:r>
              <w:rPr>
                <w:sz w:val="20"/>
                <w:szCs w:val="20"/>
              </w:rPr>
              <w:t>Business decisions requiring analyst-readable models</w:t>
            </w:r>
          </w:p>
        </w:tc>
        <w:tc>
          <w:tcPr>
            <w:tcW w:type="dxa" w:w="3780"/>
            <w:vAlign w:val="center"/>
          </w:tcPr>
          <w:p>
            <w:pPr>
              <w:spacing w:after="20"/>
            </w:pPr>
            <w:r>
              <w:rPr>
                <w:sz w:val="20"/>
                <w:szCs w:val="20"/>
              </w:rPr>
              <w:t>Usually heavier than hot-path authorization</w:t>
            </w:r>
          </w:p>
        </w:tc>
      </w:tr>
    </w:tbl>
    <w:p/>
    <w:p>
      <w:r>
        <w:t>No language is universally best. Rego is the broadest general policy option. Cedar offers a deliberately narrower and strongly analyzable authorization model. CEL is a good intermediate step when structured resources need richer predicates. Relationship engines should be selected for graph-shaped permissions rather than used as universal policy systems.</w:t>
      </w:r>
    </w:p>
    <w:p>
      <w:pPr>
        <w:pStyle w:val="Heading3"/>
      </w:pPr>
      <w:r>
        <w:t>4.5 What the reviewed platforms actually use</w:t>
      </w:r>
    </w:p>
    <w:p>
      <w:r>
        <w:t>The market does not converge on one language:</w:t>
      </w:r>
    </w:p>
    <w:p>
      <w:pPr>
        <w:pStyle w:val="ListBullet"/>
      </w:pPr>
      <w:r>
        <w:rPr>
          <w:b/>
        </w:rPr>
        <w:t>Named policy languages:</w:t>
      </w:r>
      <w:r>
        <w:t xml:space="preserve"> AWS AgentCore, Docker MCP Gateway, and ToolHive use Cedar; Permit supports Rego and Cedar; Cerbos combines YAML/JSON policy resources with CEL; NeMo Guardrails uses Colang.</w:t>
      </w:r>
    </w:p>
    <w:p>
      <w:pPr>
        <w:pStyle w:val="ListBullet"/>
      </w:pPr>
      <w:r>
        <w:rPr>
          <w:b/>
        </w:rPr>
        <w:t>Multiple policy backends:</w:t>
      </w:r>
      <w:r>
        <w:t xml:space="preserve"> Microsoft AGT has a YAML/JSON rule DSL and supports Rego, Cedar, and custom dispatchers. Its ACS manifest is configuration that binds intervention points to policy executors; it is not itself the full rule language.</w:t>
      </w:r>
    </w:p>
    <w:p>
      <w:pPr>
        <w:pStyle w:val="ListBullet"/>
      </w:pPr>
      <w:r>
        <w:rPr>
          <w:b/>
        </w:rPr>
        <w:t>Structured executable configuration:</w:t>
      </w:r>
      <w:r>
        <w:t xml:space="preserve"> Galileo Agent Control has a defined recursive JSON control model. Entra, Descope, Check Point/Lakera, Salesforce, and Okta primarily expose product-owned UI/API rule objects.</w:t>
      </w:r>
    </w:p>
    <w:p>
      <w:pPr>
        <w:pStyle w:val="ListBullet"/>
      </w:pPr>
      <w:r>
        <w:rPr>
          <w:b/>
        </w:rPr>
        <w:t>Natural-language authoring:</w:t>
      </w:r>
      <w:r>
        <w:t xml:space="preserve"> Google evaluates natural-language semantic constraints at runtime. Cisco Policy Studio drafts and tunes guardrails from prose. These approaches reduce authoring friction but differ fundamentally from deterministic policy-as-code.</w:t>
      </w:r>
    </w:p>
    <w:p>
      <w:pPr>
        <w:pStyle w:val="ListBullet"/>
      </w:pPr>
      <w:r>
        <w:rPr>
          <w:b/>
        </w:rPr>
        <w:t>Proprietary or undocumented semantics:</w:t>
      </w:r>
      <w:r>
        <w:t xml:space="preserve"> Ping, Holistic AI, Lasso, Oasis, and Credo expose policy capabilities without a public executable grammar sufficient for independent analysis.</w:t>
      </w:r>
    </w:p>
    <w:p>
      <w:pPr>
        <w:pStyle w:val="ListBullet"/>
      </w:pPr>
      <w:r>
        <w:rPr>
          <w:b/>
        </w:rPr>
        <w:t>Evaluation rather than enforcement:</w:t>
      </w:r>
      <w:r>
        <w:t xml:space="preserve"> Phoenix, AgentOps, and most LangSmith evaluator/automation features use code or UI rules to score and route telemetry. Those mechanisms should not be mislabeled as authorization languages.</w:t>
      </w:r>
    </w:p>
    <w:p>
      <w:r>
        <w:t>This diversity makes the policy request/decision contract more durable than any source language. Product comparisons should ask not only “what syntax?” but also whether policies can be typed, tested, simulated, versioned, reviewed, signed, composed, explained, audited, promoted, and executed offline.</w:t>
      </w:r>
    </w:p>
    <w:p>
      <w:pPr>
        <w:pStyle w:val="Heading3"/>
      </w:pPr>
      <w:r>
        <w:t>4.6 Natural language should be an authoring aid, not the sole authority</w:t>
      </w:r>
    </w:p>
    <w:p>
      <w:r>
        <w:t>Natural language is useful for drafting, search, explanation, and converting organizational requirements into candidate rules. For consequential authorization, the safer pattern is:</w:t>
      </w:r>
    </w:p>
    <w:p>
      <w:pPr>
        <w:pStyle w:val="ListNumber"/>
      </w:pPr>
      <w:r>
        <w:t>generate a deterministic intermediate policy;</w:t>
      </w:r>
    </w:p>
    <w:p>
      <w:pPr>
        <w:pStyle w:val="ListNumber"/>
      </w:pPr>
      <w:r>
        <w:t>validate it against a schema and supported vocabulary;</w:t>
      </w:r>
    </w:p>
    <w:p>
      <w:pPr>
        <w:pStyle w:val="ListNumber"/>
      </w:pPr>
      <w:r>
        <w:t>show the exact diff and explanation to a reviewer;</w:t>
      </w:r>
    </w:p>
    <w:p>
      <w:pPr>
        <w:pStyle w:val="ListNumber"/>
      </w:pPr>
      <w:r>
        <w:t>run tests and impact simulation;</w:t>
      </w:r>
    </w:p>
    <w:p>
      <w:pPr>
        <w:pStyle w:val="ListNumber"/>
      </w:pPr>
      <w:r>
        <w:t>approve, version, sign, and promote it; and</w:t>
      </w:r>
    </w:p>
    <w:p>
      <w:pPr>
        <w:pStyle w:val="ListNumber"/>
      </w:pPr>
      <w:r>
        <w:t>log the policy version and determining rule with each decision.</w:t>
      </w:r>
    </w:p>
    <w:p>
      <w:r>
        <w:t>Direct LLM evaluation of prose can be appropriate for semantic risks that resist crisp rules, such as intent or content classification. It should be bounded by deterministic controls for identity, tool/resource scope, budgets, credentials, and high-impact effects, with explicit handling for model error and uncertainty.</w:t>
      </w:r>
    </w:p>
    <w:p>
      <w:pPr>
        <w:pStyle w:val="Heading3"/>
      </w:pPr>
      <w:r>
        <w:t>4.7 Recommendation for CAF</w:t>
      </w:r>
    </w:p>
    <w:p>
      <w:r>
        <w:t xml:space="preserve">CAF should </w:t>
      </w:r>
      <w:r>
        <w:rPr>
          <w:b/>
        </w:rPr>
        <w:t>not build a new general policy language</w:t>
      </w:r>
      <w:r>
        <w:t>. Its public contract should define a vendor-neutral policy request and decision envelope, including the action context, allow/deny result, reason, policy/version reference, and bounded obligations such as approval or redaction. Backend-specific details should remain namespaced.</w:t>
      </w:r>
    </w:p>
    <w:p>
      <w:r>
        <w:t>For initial CAF profiles:</w:t>
      </w:r>
    </w:p>
    <w:p>
      <w:pPr>
        <w:pStyle w:val="ListNumber"/>
      </w:pPr>
      <w:r>
        <w:t>Use schema-governed JSON/YAML for a small common set of HPC guardrails and profile selections.</w:t>
      </w:r>
    </w:p>
    <w:p>
      <w:pPr>
        <w:pStyle w:val="ListNumber"/>
      </w:pPr>
      <w:r>
        <w:t>Permit a bounded expression layer only if fixed fields become insufficient; CEL is a strong pattern for this tier.</w:t>
      </w:r>
    </w:p>
    <w:p>
      <w:pPr>
        <w:pStyle w:val="ListNumber"/>
      </w:pPr>
      <w:r>
        <w:t>Evaluate Cedar for tool/resource authorization and OPA/Rego for broader heterogeneous host policy behind the same provider interface.</w:t>
      </w:r>
    </w:p>
    <w:p>
      <w:pPr>
        <w:pStyle w:val="ListNumber"/>
      </w:pPr>
      <w:r>
        <w:t>Use a relationship engine only if recursive delegation and resource-sharing requirements become graph-shaped.</w:t>
      </w:r>
    </w:p>
    <w:p>
      <w:pPr>
        <w:pStyle w:val="ListNumber"/>
      </w:pPr>
      <w:r>
        <w:t>Treat AGT as one replaceable provider that can execute its YAML DSL, Rego, Cedar, or custom policy—not as CAF's canonical language.</w:t>
      </w:r>
    </w:p>
    <w:p>
      <w:pPr>
        <w:pStyle w:val="ListNumber"/>
      </w:pPr>
      <w:r>
        <w:t>Require every provider to pass the same conformance tests for default-deny behavior, missing attributes, errors/timeouts, decision explanations, obligations, version evidence, offline deployment, and performance.</w:t>
      </w:r>
    </w:p>
    <w:p>
      <w:r>
        <w:t xml:space="preserve">The practical choice is therefore </w:t>
      </w:r>
      <w:r>
        <w:rPr>
          <w:b/>
        </w:rPr>
        <w:t>not JSON/YAML versus Rego</w:t>
      </w:r>
      <w:r>
        <w:t>. It is a staged architecture: constrained typed configuration for common policy, specialized languages where their semantics fit, and a stable decision interface that prevents CAF from being captured by any one engine.</w:t>
      </w:r>
    </w:p>
    <w:p>
      <w:pPr>
        <w:pStyle w:val="Heading2"/>
      </w:pPr>
      <w:r>
        <w:t>5. Standards and governance frameworks</w:t>
      </w:r>
    </w:p>
    <w:p>
      <w:r>
        <w:t>Standards provide important obligations and interfaces, but they do not form a complete executable agent-governance system.</w:t>
      </w:r>
    </w:p>
    <w:tbl>
      <w:tblPr>
        <w:tblStyle w:val="TableGrid"/>
        <w:tblW w:type="auto" w:w="0"/>
        <w:jc w:val="center"/>
        <w:tblLayout w:type="autofit"/>
        <w:tblLook w:firstColumn="1" w:firstRow="1" w:lastColumn="0" w:lastRow="0" w:noHBand="0" w:noVBand="1" w:val="04A0"/>
      </w:tblPr>
      <w:tblGrid>
        <w:gridCol w:w="3780"/>
        <w:gridCol w:w="3780"/>
        <w:gridCol w:w="3780"/>
        <w:gridCol w:w="3780"/>
      </w:tblGrid>
      <w:tr>
        <w:trPr>
          <w:tblHeader w:val="true"/>
        </w:trPr>
        <w:tc>
          <w:tcPr>
            <w:tcW w:type="dxa" w:w="3780"/>
            <w:vAlign w:val="center"/>
            <w:shd w:fill="D9EAF7"/>
          </w:tcPr>
          <w:p>
            <w:pPr>
              <w:spacing w:after="20"/>
            </w:pPr>
            <w:r>
              <w:rPr>
                <w:b/>
                <w:sz w:val="20"/>
                <w:szCs w:val="20"/>
              </w:rPr>
              <w:t>Category</w:t>
            </w:r>
          </w:p>
        </w:tc>
        <w:tc>
          <w:tcPr>
            <w:tcW w:type="dxa" w:w="3780"/>
            <w:vAlign w:val="center"/>
            <w:shd w:fill="D9EAF7"/>
          </w:tcPr>
          <w:p>
            <w:pPr>
              <w:spacing w:after="20"/>
            </w:pPr>
            <w:r>
              <w:rPr>
                <w:b/>
                <w:sz w:val="20"/>
                <w:szCs w:val="20"/>
              </w:rPr>
              <w:t>Relevant standards/frameworks</w:t>
            </w:r>
          </w:p>
        </w:tc>
        <w:tc>
          <w:tcPr>
            <w:tcW w:type="dxa" w:w="3780"/>
            <w:vAlign w:val="center"/>
            <w:shd w:fill="D9EAF7"/>
          </w:tcPr>
          <w:p>
            <w:pPr>
              <w:spacing w:after="20"/>
            </w:pPr>
            <w:r>
              <w:rPr>
                <w:b/>
                <w:sz w:val="20"/>
                <w:szCs w:val="20"/>
              </w:rPr>
              <w:t>Role</w:t>
            </w:r>
          </w:p>
        </w:tc>
        <w:tc>
          <w:tcPr>
            <w:tcW w:type="dxa" w:w="3780"/>
            <w:vAlign w:val="center"/>
            <w:shd w:fill="D9EAF7"/>
          </w:tcPr>
          <w:p>
            <w:pPr>
              <w:spacing w:after="20"/>
            </w:pPr>
            <w:r>
              <w:rPr>
                <w:b/>
                <w:sz w:val="20"/>
                <w:szCs w:val="20"/>
              </w:rPr>
              <w:t>Important boundary</w:t>
            </w:r>
          </w:p>
        </w:tc>
      </w:tr>
      <w:tr>
        <w:tc>
          <w:tcPr>
            <w:tcW w:type="dxa" w:w="3780"/>
            <w:vAlign w:val="center"/>
          </w:tcPr>
          <w:p>
            <w:pPr>
              <w:spacing w:after="20"/>
            </w:pPr>
            <w:r>
              <w:rPr>
                <w:sz w:val="20"/>
                <w:szCs w:val="20"/>
              </w:rPr>
              <w:t>AI risk and management</w:t>
            </w:r>
          </w:p>
        </w:tc>
        <w:tc>
          <w:tcPr>
            <w:tcW w:type="dxa" w:w="3780"/>
            <w:vAlign w:val="center"/>
          </w:tcPr>
          <w:p>
            <w:pPr>
              <w:spacing w:after="20"/>
            </w:pPr>
            <w:hyperlink r:id="rId72">
              <w:r>
                <w:rPr>
                  <w:color w:val="0563C1"/>
                  <w:u w:val="single"/>
                  <w:sz w:val="20"/>
                  <w:szCs w:val="20"/>
                </w:rPr>
                <w:t>EU AI Act</w:t>
              </w:r>
            </w:hyperlink>
            <w:r>
              <w:rPr>
                <w:sz w:val="20"/>
                <w:szCs w:val="20"/>
              </w:rPr>
              <w:t xml:space="preserve">, </w:t>
            </w:r>
            <w:hyperlink r:id="rId73">
              <w:r>
                <w:rPr>
                  <w:color w:val="0563C1"/>
                  <w:u w:val="single"/>
                  <w:sz w:val="20"/>
                  <w:szCs w:val="20"/>
                </w:rPr>
                <w:t>NIST AI RMF</w:t>
              </w:r>
            </w:hyperlink>
            <w:r>
              <w:rPr>
                <w:sz w:val="20"/>
                <w:szCs w:val="20"/>
              </w:rPr>
              <w:t xml:space="preserve">, </w:t>
            </w:r>
            <w:hyperlink r:id="rId74">
              <w:r>
                <w:rPr>
                  <w:color w:val="0563C1"/>
                  <w:u w:val="single"/>
                  <w:sz w:val="20"/>
                  <w:szCs w:val="20"/>
                </w:rPr>
                <w:t>ISO/IEC 42001</w:t>
              </w:r>
            </w:hyperlink>
          </w:p>
        </w:tc>
        <w:tc>
          <w:tcPr>
            <w:tcW w:type="dxa" w:w="3780"/>
            <w:vAlign w:val="center"/>
          </w:tcPr>
          <w:p>
            <w:pPr>
              <w:spacing w:after="20"/>
            </w:pPr>
            <w:r>
              <w:rPr>
                <w:sz w:val="20"/>
                <w:szCs w:val="20"/>
              </w:rPr>
              <w:t>Legal obligations and management/risk processes</w:t>
            </w:r>
          </w:p>
        </w:tc>
        <w:tc>
          <w:tcPr>
            <w:tcW w:type="dxa" w:w="3780"/>
            <w:vAlign w:val="center"/>
          </w:tcPr>
          <w:p>
            <w:pPr>
              <w:spacing w:after="20"/>
            </w:pPr>
            <w:r>
              <w:rPr>
                <w:sz w:val="20"/>
                <w:szCs w:val="20"/>
              </w:rPr>
              <w:t>Not runtime policy engines</w:t>
            </w:r>
          </w:p>
        </w:tc>
      </w:tr>
      <w:tr>
        <w:tc>
          <w:tcPr>
            <w:tcW w:type="dxa" w:w="3780"/>
            <w:vAlign w:val="center"/>
          </w:tcPr>
          <w:p>
            <w:pPr>
              <w:spacing w:after="20"/>
            </w:pPr>
            <w:r>
              <w:rPr>
                <w:sz w:val="20"/>
                <w:szCs w:val="20"/>
              </w:rPr>
              <w:t>Agent threats</w:t>
            </w:r>
          </w:p>
        </w:tc>
        <w:tc>
          <w:tcPr>
            <w:tcW w:type="dxa" w:w="3780"/>
            <w:vAlign w:val="center"/>
          </w:tcPr>
          <w:p>
            <w:pPr>
              <w:spacing w:after="20"/>
            </w:pPr>
            <w:hyperlink r:id="rId75">
              <w:r>
                <w:rPr>
                  <w:color w:val="0563C1"/>
                  <w:u w:val="single"/>
                  <w:sz w:val="20"/>
                  <w:szCs w:val="20"/>
                </w:rPr>
                <w:t>OWASP Agentic Top 10</w:t>
              </w:r>
            </w:hyperlink>
            <w:r>
              <w:rPr>
                <w:sz w:val="20"/>
                <w:szCs w:val="20"/>
              </w:rPr>
              <w:t xml:space="preserve">, </w:t>
            </w:r>
            <w:hyperlink r:id="rId76">
              <w:r>
                <w:rPr>
                  <w:color w:val="0563C1"/>
                  <w:u w:val="single"/>
                  <w:sz w:val="20"/>
                  <w:szCs w:val="20"/>
                </w:rPr>
                <w:t>MITRE ATLAS</w:t>
              </w:r>
            </w:hyperlink>
          </w:p>
        </w:tc>
        <w:tc>
          <w:tcPr>
            <w:tcW w:type="dxa" w:w="3780"/>
            <w:vAlign w:val="center"/>
          </w:tcPr>
          <w:p>
            <w:pPr>
              <w:spacing w:after="20"/>
            </w:pPr>
            <w:r>
              <w:rPr>
                <w:sz w:val="20"/>
                <w:szCs w:val="20"/>
              </w:rPr>
              <w:t>Threat modeling and test coverage</w:t>
            </w:r>
          </w:p>
        </w:tc>
        <w:tc>
          <w:tcPr>
            <w:tcW w:type="dxa" w:w="3780"/>
            <w:vAlign w:val="center"/>
          </w:tcPr>
          <w:p>
            <w:pPr>
              <w:spacing w:after="20"/>
            </w:pPr>
            <w:r>
              <w:rPr>
                <w:sz w:val="20"/>
                <w:szCs w:val="20"/>
              </w:rPr>
              <w:t>Mapping does not prove control effectiveness</w:t>
            </w:r>
          </w:p>
        </w:tc>
      </w:tr>
      <w:tr>
        <w:tc>
          <w:tcPr>
            <w:tcW w:type="dxa" w:w="3780"/>
            <w:vAlign w:val="center"/>
          </w:tcPr>
          <w:p>
            <w:pPr>
              <w:spacing w:after="20"/>
            </w:pPr>
            <w:r>
              <w:rPr>
                <w:sz w:val="20"/>
                <w:szCs w:val="20"/>
              </w:rPr>
              <w:t>Identity/delegation</w:t>
            </w:r>
          </w:p>
        </w:tc>
        <w:tc>
          <w:tcPr>
            <w:tcW w:type="dxa" w:w="3780"/>
            <w:vAlign w:val="center"/>
          </w:tcPr>
          <w:p>
            <w:pPr>
              <w:spacing w:after="20"/>
            </w:pPr>
            <w:hyperlink r:id="rId77">
              <w:r>
                <w:rPr>
                  <w:color w:val="0563C1"/>
                  <w:u w:val="single"/>
                  <w:sz w:val="20"/>
                  <w:szCs w:val="20"/>
                </w:rPr>
                <w:t>OAuth Token Exchange RFC 8693</w:t>
              </w:r>
            </w:hyperlink>
            <w:r>
              <w:rPr>
                <w:sz w:val="20"/>
                <w:szCs w:val="20"/>
              </w:rPr>
              <w:t xml:space="preserve">, </w:t>
            </w:r>
            <w:hyperlink r:id="rId78">
              <w:r>
                <w:rPr>
                  <w:color w:val="0563C1"/>
                  <w:u w:val="single"/>
                  <w:sz w:val="20"/>
                  <w:szCs w:val="20"/>
                </w:rPr>
                <w:t>RAR RFC 9396</w:t>
              </w:r>
            </w:hyperlink>
            <w:r>
              <w:rPr>
                <w:sz w:val="20"/>
                <w:szCs w:val="20"/>
              </w:rPr>
              <w:t xml:space="preserve">, </w:t>
            </w:r>
            <w:hyperlink r:id="rId79">
              <w:r>
                <w:rPr>
                  <w:color w:val="0563C1"/>
                  <w:u w:val="single"/>
                  <w:sz w:val="20"/>
                  <w:szCs w:val="20"/>
                </w:rPr>
                <w:t>GNAP RFC 9635</w:t>
              </w:r>
            </w:hyperlink>
            <w:r>
              <w:rPr>
                <w:sz w:val="20"/>
                <w:szCs w:val="20"/>
              </w:rPr>
              <w:t xml:space="preserve">, </w:t>
            </w:r>
            <w:hyperlink r:id="rId80">
              <w:r>
                <w:rPr>
                  <w:color w:val="0563C1"/>
                  <w:u w:val="single"/>
                  <w:sz w:val="20"/>
                  <w:szCs w:val="20"/>
                </w:rPr>
                <w:t>SPIFFE</w:t>
              </w:r>
            </w:hyperlink>
          </w:p>
        </w:tc>
        <w:tc>
          <w:tcPr>
            <w:tcW w:type="dxa" w:w="3780"/>
            <w:vAlign w:val="center"/>
          </w:tcPr>
          <w:p>
            <w:pPr>
              <w:spacing w:after="20"/>
            </w:pPr>
            <w:r>
              <w:rPr>
                <w:sz w:val="20"/>
                <w:szCs w:val="20"/>
              </w:rPr>
              <w:t>Mature primitives for token exchange, structured authorization, delegation, workload identity</w:t>
            </w:r>
          </w:p>
        </w:tc>
        <w:tc>
          <w:tcPr>
            <w:tcW w:type="dxa" w:w="3780"/>
            <w:vAlign w:val="center"/>
          </w:tcPr>
          <w:p>
            <w:pPr>
              <w:spacing w:after="20"/>
            </w:pPr>
            <w:r>
              <w:rPr>
                <w:sz w:val="20"/>
                <w:szCs w:val="20"/>
              </w:rPr>
              <w:t>No universal agent mandate or recursive delegation model</w:t>
            </w:r>
          </w:p>
        </w:tc>
      </w:tr>
      <w:tr>
        <w:tc>
          <w:tcPr>
            <w:tcW w:type="dxa" w:w="3780"/>
            <w:vAlign w:val="center"/>
          </w:tcPr>
          <w:p>
            <w:pPr>
              <w:spacing w:after="20"/>
            </w:pPr>
            <w:r>
              <w:rPr>
                <w:sz w:val="20"/>
                <w:szCs w:val="20"/>
              </w:rPr>
              <w:t>PEP/PDP interface</w:t>
            </w:r>
          </w:p>
        </w:tc>
        <w:tc>
          <w:tcPr>
            <w:tcW w:type="dxa" w:w="3780"/>
            <w:vAlign w:val="center"/>
          </w:tcPr>
          <w:p>
            <w:pPr>
              <w:spacing w:after="20"/>
            </w:pPr>
            <w:hyperlink r:id="rId81">
              <w:r>
                <w:rPr>
                  <w:color w:val="0563C1"/>
                  <w:u w:val="single"/>
                  <w:sz w:val="20"/>
                  <w:szCs w:val="20"/>
                </w:rPr>
                <w:t>OpenID AuthZEN 1.0</w:t>
              </w:r>
            </w:hyperlink>
          </w:p>
        </w:tc>
        <w:tc>
          <w:tcPr>
            <w:tcW w:type="dxa" w:w="3780"/>
            <w:vAlign w:val="center"/>
          </w:tcPr>
          <w:p>
            <w:pPr>
              <w:spacing w:after="20"/>
            </w:pPr>
            <w:r>
              <w:rPr>
                <w:sz w:val="20"/>
                <w:szCs w:val="20"/>
              </w:rPr>
              <w:t>Standard authorization request/decision interface</w:t>
            </w:r>
          </w:p>
        </w:tc>
        <w:tc>
          <w:tcPr>
            <w:tcW w:type="dxa" w:w="3780"/>
            <w:vAlign w:val="center"/>
          </w:tcPr>
          <w:p>
            <w:pPr>
              <w:spacing w:after="20"/>
            </w:pPr>
            <w:r>
              <w:rPr>
                <w:sz w:val="20"/>
                <w:szCs w:val="20"/>
              </w:rPr>
              <w:t>Leaves policy language, state, identity, and enforcement external</w:t>
            </w:r>
          </w:p>
        </w:tc>
      </w:tr>
      <w:tr>
        <w:tc>
          <w:tcPr>
            <w:tcW w:type="dxa" w:w="3780"/>
            <w:vAlign w:val="center"/>
          </w:tcPr>
          <w:p>
            <w:pPr>
              <w:spacing w:after="20"/>
            </w:pPr>
            <w:r>
              <w:rPr>
                <w:sz w:val="20"/>
                <w:szCs w:val="20"/>
              </w:rPr>
              <w:t>Tool protocol</w:t>
            </w:r>
          </w:p>
        </w:tc>
        <w:tc>
          <w:tcPr>
            <w:tcW w:type="dxa" w:w="3780"/>
            <w:vAlign w:val="center"/>
          </w:tcPr>
          <w:p>
            <w:pPr>
              <w:spacing w:after="20"/>
            </w:pPr>
            <w:hyperlink r:id="rId82">
              <w:r>
                <w:rPr>
                  <w:color w:val="0563C1"/>
                  <w:u w:val="single"/>
                  <w:sz w:val="20"/>
                  <w:szCs w:val="20"/>
                </w:rPr>
                <w:t>MCP</w:t>
              </w:r>
            </w:hyperlink>
          </w:p>
        </w:tc>
        <w:tc>
          <w:tcPr>
            <w:tcW w:type="dxa" w:w="3780"/>
            <w:vAlign w:val="center"/>
          </w:tcPr>
          <w:p>
            <w:pPr>
              <w:spacing w:after="20"/>
            </w:pPr>
            <w:r>
              <w:rPr>
                <w:sz w:val="20"/>
                <w:szCs w:val="20"/>
              </w:rPr>
              <w:t>Tool/resource protocol and optional OAuth-based authorization</w:t>
            </w:r>
          </w:p>
        </w:tc>
        <w:tc>
          <w:tcPr>
            <w:tcW w:type="dxa" w:w="3780"/>
            <w:vAlign w:val="center"/>
          </w:tcPr>
          <w:p>
            <w:pPr>
              <w:spacing w:after="20"/>
            </w:pPr>
            <w:r>
              <w:rPr>
                <w:sz w:val="20"/>
                <w:szCs w:val="20"/>
              </w:rPr>
              <w:t>Does not decide semantic safety or mandate alignment; STDIO differs</w:t>
            </w:r>
          </w:p>
        </w:tc>
      </w:tr>
      <w:tr>
        <w:tc>
          <w:tcPr>
            <w:tcW w:type="dxa" w:w="3780"/>
            <w:vAlign w:val="center"/>
          </w:tcPr>
          <w:p>
            <w:pPr>
              <w:spacing w:after="20"/>
            </w:pPr>
            <w:r>
              <w:rPr>
                <w:sz w:val="20"/>
                <w:szCs w:val="20"/>
              </w:rPr>
              <w:t>Agent protocol</w:t>
            </w:r>
          </w:p>
        </w:tc>
        <w:tc>
          <w:tcPr>
            <w:tcW w:type="dxa" w:w="3780"/>
            <w:vAlign w:val="center"/>
          </w:tcPr>
          <w:p>
            <w:pPr>
              <w:spacing w:after="20"/>
            </w:pPr>
            <w:hyperlink r:id="rId83">
              <w:r>
                <w:rPr>
                  <w:color w:val="0563C1"/>
                  <w:u w:val="single"/>
                  <w:sz w:val="20"/>
                  <w:szCs w:val="20"/>
                </w:rPr>
                <w:t>A2A</w:t>
              </w:r>
            </w:hyperlink>
          </w:p>
        </w:tc>
        <w:tc>
          <w:tcPr>
            <w:tcW w:type="dxa" w:w="3780"/>
            <w:vAlign w:val="center"/>
          </w:tcPr>
          <w:p>
            <w:pPr>
              <w:spacing w:after="20"/>
            </w:pPr>
            <w:r>
              <w:rPr>
                <w:sz w:val="20"/>
                <w:szCs w:val="20"/>
              </w:rPr>
              <w:t>Agent discovery, messaging, tasks, streaming</w:t>
            </w:r>
          </w:p>
        </w:tc>
        <w:tc>
          <w:tcPr>
            <w:tcW w:type="dxa" w:w="3780"/>
            <w:vAlign w:val="center"/>
          </w:tcPr>
          <w:p>
            <w:pPr>
              <w:spacing w:after="20"/>
            </w:pPr>
            <w:r>
              <w:rPr>
                <w:sz w:val="20"/>
                <w:szCs w:val="20"/>
              </w:rPr>
              <w:t>Authorization and recursive trust remain implementation-specific</w:t>
            </w:r>
          </w:p>
        </w:tc>
      </w:tr>
      <w:tr>
        <w:tc>
          <w:tcPr>
            <w:tcW w:type="dxa" w:w="3780"/>
            <w:vAlign w:val="center"/>
          </w:tcPr>
          <w:p>
            <w:pPr>
              <w:spacing w:after="20"/>
            </w:pPr>
            <w:r>
              <w:rPr>
                <w:sz w:val="20"/>
                <w:szCs w:val="20"/>
              </w:rPr>
              <w:t>Telemetry/evidence</w:t>
            </w:r>
          </w:p>
        </w:tc>
        <w:tc>
          <w:tcPr>
            <w:tcW w:type="dxa" w:w="3780"/>
            <w:vAlign w:val="center"/>
          </w:tcPr>
          <w:p>
            <w:pPr>
              <w:spacing w:after="20"/>
            </w:pPr>
            <w:hyperlink r:id="rId84">
              <w:r>
                <w:rPr>
                  <w:color w:val="0563C1"/>
                  <w:u w:val="single"/>
                  <w:sz w:val="20"/>
                  <w:szCs w:val="20"/>
                </w:rPr>
                <w:t>OpenTelemetry</w:t>
              </w:r>
            </w:hyperlink>
            <w:r>
              <w:rPr>
                <w:sz w:val="20"/>
                <w:szCs w:val="20"/>
              </w:rPr>
              <w:t xml:space="preserve">, </w:t>
            </w:r>
            <w:hyperlink r:id="rId85">
              <w:r>
                <w:rPr>
                  <w:color w:val="0563C1"/>
                  <w:u w:val="single"/>
                  <w:sz w:val="20"/>
                  <w:szCs w:val="20"/>
                </w:rPr>
                <w:t>W3C PROV-O</w:t>
              </w:r>
            </w:hyperlink>
            <w:r>
              <w:rPr>
                <w:sz w:val="20"/>
                <w:szCs w:val="20"/>
              </w:rPr>
              <w:t xml:space="preserve">, </w:t>
            </w:r>
            <w:hyperlink r:id="rId86">
              <w:r>
                <w:rPr>
                  <w:color w:val="0563C1"/>
                  <w:u w:val="single"/>
                  <w:sz w:val="20"/>
                  <w:szCs w:val="20"/>
                </w:rPr>
                <w:t>SCITT drafts</w:t>
              </w:r>
            </w:hyperlink>
          </w:p>
        </w:tc>
        <w:tc>
          <w:tcPr>
            <w:tcW w:type="dxa" w:w="3780"/>
            <w:vAlign w:val="center"/>
          </w:tcPr>
          <w:p>
            <w:pPr>
              <w:spacing w:after="20"/>
            </w:pPr>
            <w:r>
              <w:rPr>
                <w:sz w:val="20"/>
                <w:szCs w:val="20"/>
              </w:rPr>
              <w:t>Correlation, provenance, emerging signed receipts</w:t>
            </w:r>
          </w:p>
        </w:tc>
        <w:tc>
          <w:tcPr>
            <w:tcW w:type="dxa" w:w="3780"/>
            <w:vAlign w:val="center"/>
          </w:tcPr>
          <w:p>
            <w:pPr>
              <w:spacing w:after="20"/>
            </w:pPr>
            <w:r>
              <w:rPr>
                <w:sz w:val="20"/>
                <w:szCs w:val="20"/>
              </w:rPr>
              <w:t>No settled portable audit-grade agent action receipt</w:t>
            </w:r>
          </w:p>
        </w:tc>
      </w:tr>
      <w:tr>
        <w:tc>
          <w:tcPr>
            <w:tcW w:type="dxa" w:w="3780"/>
            <w:vAlign w:val="center"/>
          </w:tcPr>
          <w:p>
            <w:pPr>
              <w:spacing w:after="20"/>
            </w:pPr>
            <w:r>
              <w:rPr>
                <w:sz w:val="20"/>
                <w:szCs w:val="20"/>
              </w:rPr>
              <w:t>Supply-chain evidence</w:t>
            </w:r>
          </w:p>
        </w:tc>
        <w:tc>
          <w:tcPr>
            <w:tcW w:type="dxa" w:w="3780"/>
            <w:vAlign w:val="center"/>
          </w:tcPr>
          <w:p>
            <w:pPr>
              <w:spacing w:after="20"/>
            </w:pPr>
            <w:hyperlink r:id="rId87">
              <w:r>
                <w:rPr>
                  <w:color w:val="0563C1"/>
                  <w:u w:val="single"/>
                  <w:sz w:val="20"/>
                  <w:szCs w:val="20"/>
                </w:rPr>
                <w:t>in-toto</w:t>
              </w:r>
            </w:hyperlink>
            <w:r>
              <w:rPr>
                <w:sz w:val="20"/>
                <w:szCs w:val="20"/>
              </w:rPr>
              <w:t xml:space="preserve">, </w:t>
            </w:r>
            <w:hyperlink r:id="rId42">
              <w:r>
                <w:rPr>
                  <w:color w:val="0563C1"/>
                  <w:u w:val="single"/>
                  <w:sz w:val="20"/>
                  <w:szCs w:val="20"/>
                </w:rPr>
                <w:t>SLSA</w:t>
              </w:r>
            </w:hyperlink>
            <w:r>
              <w:rPr>
                <w:sz w:val="20"/>
                <w:szCs w:val="20"/>
              </w:rPr>
              <w:t xml:space="preserve">, </w:t>
            </w:r>
            <w:hyperlink r:id="rId88">
              <w:r>
                <w:rPr>
                  <w:color w:val="0563C1"/>
                  <w:u w:val="single"/>
                  <w:sz w:val="20"/>
                  <w:szCs w:val="20"/>
                </w:rPr>
                <w:t>Sigstore</w:t>
              </w:r>
            </w:hyperlink>
          </w:p>
        </w:tc>
        <w:tc>
          <w:tcPr>
            <w:tcW w:type="dxa" w:w="3780"/>
            <w:vAlign w:val="center"/>
          </w:tcPr>
          <w:p>
            <w:pPr>
              <w:spacing w:after="20"/>
            </w:pPr>
            <w:r>
              <w:rPr>
                <w:sz w:val="20"/>
                <w:szCs w:val="20"/>
              </w:rPr>
              <w:t>Artifact provenance, signing, verification</w:t>
            </w:r>
          </w:p>
        </w:tc>
        <w:tc>
          <w:tcPr>
            <w:tcW w:type="dxa" w:w="3780"/>
            <w:vAlign w:val="center"/>
          </w:tcPr>
          <w:p>
            <w:pPr>
              <w:spacing w:after="20"/>
            </w:pPr>
            <w:r>
              <w:rPr>
                <w:sz w:val="20"/>
                <w:szCs w:val="20"/>
              </w:rPr>
              <w:t>Proves artifact facts, not runtime intent or authorization</w:t>
            </w:r>
          </w:p>
        </w:tc>
      </w:tr>
      <w:tr>
        <w:tc>
          <w:tcPr>
            <w:tcW w:type="dxa" w:w="3780"/>
            <w:vAlign w:val="center"/>
          </w:tcPr>
          <w:p>
            <w:pPr>
              <w:spacing w:after="20"/>
            </w:pPr>
            <w:r>
              <w:rPr>
                <w:sz w:val="20"/>
                <w:szCs w:val="20"/>
              </w:rPr>
              <w:t>Compliance automation</w:t>
            </w:r>
          </w:p>
        </w:tc>
        <w:tc>
          <w:tcPr>
            <w:tcW w:type="dxa" w:w="3780"/>
            <w:vAlign w:val="center"/>
          </w:tcPr>
          <w:p>
            <w:pPr>
              <w:spacing w:after="20"/>
            </w:pPr>
            <w:hyperlink r:id="rId89">
              <w:r>
                <w:rPr>
                  <w:color w:val="0563C1"/>
                  <w:u w:val="single"/>
                  <w:sz w:val="20"/>
                  <w:szCs w:val="20"/>
                </w:rPr>
                <w:t>NIST SP 800-53</w:t>
              </w:r>
            </w:hyperlink>
            <w:r>
              <w:rPr>
                <w:sz w:val="20"/>
                <w:szCs w:val="20"/>
              </w:rPr>
              <w:t xml:space="preserve">, </w:t>
            </w:r>
            <w:hyperlink r:id="rId54">
              <w:r>
                <w:rPr>
                  <w:color w:val="0563C1"/>
                  <w:u w:val="single"/>
                  <w:sz w:val="20"/>
                  <w:szCs w:val="20"/>
                </w:rPr>
                <w:t>OSCAL</w:t>
              </w:r>
            </w:hyperlink>
          </w:p>
        </w:tc>
        <w:tc>
          <w:tcPr>
            <w:tcW w:type="dxa" w:w="3780"/>
            <w:vAlign w:val="center"/>
          </w:tcPr>
          <w:p>
            <w:pPr>
              <w:spacing w:after="20"/>
            </w:pPr>
            <w:r>
              <w:rPr>
                <w:sz w:val="20"/>
                <w:szCs w:val="20"/>
              </w:rPr>
              <w:t>Control catalogs and machine-readable compliance data</w:t>
            </w:r>
          </w:p>
        </w:tc>
        <w:tc>
          <w:tcPr>
            <w:tcW w:type="dxa" w:w="3780"/>
            <w:vAlign w:val="center"/>
          </w:tcPr>
          <w:p>
            <w:pPr>
              <w:spacing w:after="20"/>
            </w:pPr>
            <w:r>
              <w:rPr>
                <w:sz w:val="20"/>
                <w:szCs w:val="20"/>
              </w:rPr>
              <w:t>Representation is not enforcement or assurance</w:t>
            </w:r>
          </w:p>
        </w:tc>
      </w:tr>
    </w:tbl>
    <w:p/>
    <w:p>
      <w:r>
        <w:t>The central standards gap is end-to-end binding among agent identity, human or organizational mandate, recursive delegation, per-action policy, runtime execution, and portable tamper-evident evidence. CAF should not attempt to solve this globally. It should define the smallest HPC-managed-path envelope it needs and map to emerging standards where practical.</w:t>
      </w:r>
    </w:p>
    <w:p>
      <w:pPr>
        <w:pStyle w:val="Heading2"/>
      </w:pPr>
      <w:r>
        <w:t>6. Microsoft AGT: technical assessment and industry position</w:t>
      </w:r>
    </w:p>
    <w:p>
      <w:r>
        <w:t>AGT should be evaluated as one coherent product proposition: an embeddable runtime governance layer with a broad collection of supporting primitives. Its value comes from joining agent-aware policy context to lifecycle interception. Its limits come from the same architecture: the surrounding application and host must make that interception complete and enforce the returned decision.</w:t>
      </w:r>
    </w:p>
    <w:p>
      <w:pPr>
        <w:pStyle w:val="Heading3"/>
      </w:pPr>
      <w:r>
        <w:t>6.1 Core architecture</w:t>
      </w:r>
    </w:p>
    <w:p>
      <w:r>
        <w:t xml:space="preserve">AGT is best categorized as </w:t>
      </w:r>
      <w:r>
        <w:rPr>
          <w:b/>
        </w:rPr>
        <w:t>embeddable agent-aware policy and enforcement middleware with supporting governance primitives</w:t>
      </w:r>
      <w:r>
        <w:t>. Its technical center is ACS:</w:t>
      </w:r>
    </w:p>
    <w:p>
      <w:pPr>
        <w:pStyle w:val="ListBullet"/>
      </w:pPr>
      <w:r>
        <w:t>The trusted host is the policy enforcement point.</w:t>
      </w:r>
    </w:p>
    <w:p>
      <w:pPr>
        <w:pStyle w:val="ListBullet"/>
      </w:pPr>
      <w:r>
        <w:t>ACS core evaluation is stateless and deterministic for identical snapshots and externally supplied dispatcher outputs; classifier, endpoint, or LLM annotators remain host-controlled and may be probabilistic.</w:t>
      </w:r>
    </w:p>
    <w:p>
      <w:pPr>
        <w:pStyle w:val="ListBullet"/>
      </w:pPr>
      <w:r>
        <w:t>The host sends a complete JSON snapshot at a lifecycle intervention point.</w:t>
      </w:r>
    </w:p>
    <w:p>
      <w:pPr>
        <w:pStyle w:val="ListBullet"/>
      </w:pPr>
      <w:r>
        <w:t>ACS returns a verdict; the host applies it before the side effect.</w:t>
      </w:r>
    </w:p>
    <w:p>
      <w:pPr>
        <w:pStyle w:val="ListBullet"/>
      </w:pPr>
      <w:r>
        <w:t>Supported policy paths include YAML rules, Rego/OPA, Cedar, and custom dispatchers.</w:t>
      </w:r>
    </w:p>
    <w:p>
      <w:pPr>
        <w:pStyle w:val="ListBullet"/>
      </w:pPr>
      <w:r>
        <w:t>Intervention points cover startup, input, model calls, tool calls, output, and shutdown.</w:t>
      </w:r>
    </w:p>
    <w:p>
      <w:r>
        <w:t>This is broader than an MCP gateway because it can mediate model and lifecycle events. It is narrower than a complete governance platform because its authority ends where integration or host enforcement ends.</w:t>
      </w:r>
    </w:p>
    <w:p>
      <w:pPr>
        <w:pStyle w:val="Heading3"/>
      </w:pPr>
      <w:r>
        <w:t>6.2 Supporting capabilities</w:t>
      </w:r>
    </w:p>
    <w:p>
      <w:r>
        <w:t>AGT’s repository also includes:</w:t>
      </w:r>
    </w:p>
    <w:p>
      <w:pPr>
        <w:pStyle w:val="ListBullet"/>
      </w:pPr>
      <w:r>
        <w:t>agent DIDs, sponsor attribution, scoped delegation, revocation, and behavioral trust scores;</w:t>
      </w:r>
    </w:p>
    <w:p>
      <w:pPr>
        <w:pStyle w:val="ListBullet"/>
      </w:pPr>
      <w:r>
        <w:t>structured audit entries, hash chains, Merkle proofs, CloudEvents, and OpenTelemetry sinks;</w:t>
      </w:r>
    </w:p>
    <w:p>
      <w:pPr>
        <w:pStyle w:val="ListBullet"/>
      </w:pPr>
      <w:r>
        <w:t>framework adapters and middleware across Python, TypeScript, .NET, Rust, and Go;</w:t>
      </w:r>
    </w:p>
    <w:p>
      <w:pPr>
        <w:pStyle w:val="ListBullet"/>
      </w:pPr>
      <w:r>
        <w:t>MCP inspection/gateway modules, response filtering, rate and session controls;</w:t>
      </w:r>
    </w:p>
    <w:p>
      <w:pPr>
        <w:pStyle w:val="ListBullet"/>
      </w:pPr>
      <w:r>
        <w:t>approval metadata and liftable denials;</w:t>
      </w:r>
    </w:p>
    <w:p>
      <w:pPr>
        <w:pStyle w:val="ListBullet"/>
      </w:pPr>
      <w:r>
        <w:t>reliability/SRE primitives, replay, circuit breakers, and cooperative kill hooks;</w:t>
      </w:r>
    </w:p>
    <w:p>
      <w:pPr>
        <w:pStyle w:val="ListBullet"/>
      </w:pPr>
      <w:r>
        <w:t>compliance mappings, policy packs, evidence exports, examples, and deployment guidance.</w:t>
      </w:r>
    </w:p>
    <w:p>
      <w:r>
        <w:t xml:space="preserve">The breadth is real, but not uniform. Python is materially ahead in adapters, CLI, dashboard, replay, compliance workflow, and tests. “Supported framework” can mean anything from deep lifecycle integration to a wrapper or exporter; each path requires coverage and bypass tests. These conclusions are grounded in the commit-pinned </w:t>
      </w:r>
      <w:hyperlink r:id="rId90">
        <w:r>
          <w:rPr>
            <w:color w:val="0563C1"/>
            <w:u w:val="single"/>
          </w:rPr>
          <w:t>architecture</w:t>
        </w:r>
      </w:hyperlink>
      <w:r>
        <w:t xml:space="preserve">, </w:t>
      </w:r>
      <w:hyperlink r:id="rId91">
        <w:r>
          <w:rPr>
            <w:color w:val="0563C1"/>
            <w:u w:val="single"/>
          </w:rPr>
          <w:t>policy-engine contract</w:t>
        </w:r>
      </w:hyperlink>
      <w:r>
        <w:t xml:space="preserve">, </w:t>
      </w:r>
      <w:hyperlink r:id="rId92">
        <w:r>
          <w:rPr>
            <w:color w:val="0563C1"/>
            <w:u w:val="single"/>
          </w:rPr>
          <w:t>feature matrix</w:t>
        </w:r>
      </w:hyperlink>
      <w:r>
        <w:t xml:space="preserve">, and </w:t>
      </w:r>
      <w:hyperlink r:id="rId93">
        <w:r>
          <w:rPr>
            <w:color w:val="0563C1"/>
            <w:u w:val="single"/>
          </w:rPr>
          <w:t>limitations</w:t>
        </w:r>
      </w:hyperlink>
      <w:r>
        <w:t>.</w:t>
      </w:r>
    </w:p>
    <w:p>
      <w:pPr>
        <w:pStyle w:val="Heading3"/>
      </w:pPr>
      <w:r>
        <w:t>6.3 Enforcement and security boundary</w:t>
      </w:r>
    </w:p>
    <w:p>
      <w:r>
        <w:t>AGT’s most important limitation is mediation completeness. In-process adapters and sidecars are not transparent security boundaries. The agent or host must route every relevant action through them. A direct shell, API, network, SDK, or native framework path can bypass governance unless the surrounding host denies that alternate path.</w:t>
      </w:r>
    </w:p>
    <w:p>
      <w:r>
        <w:t>The project’s own documentation recommends container or VM isolation for high-security deployments. Default behavior also requires attention: runtime evaluation errors can fail closed, but absent or misinitialized policy may allow actions. A production integration needs startup attestation, default-deny policy, pinned versions, and negative tests against every public action path.</w:t>
      </w:r>
    </w:p>
    <w:p>
      <w:r>
        <w:t>AGT identity is an agent-aware overlay, not a replacement for enterprise identity. Its DIDs, keys, sponsors, capability narrowing, and delegation chains are valuable policy context. Enterprise IdP, workload attestation, KMS, credential issuance, revocation distribution, and authoritative access remain external.</w:t>
      </w:r>
    </w:p>
    <w:p>
      <w:r>
        <w:t xml:space="preserve">AGT audit structures improve tamper detection, but the </w:t>
      </w:r>
      <w:hyperlink r:id="rId94">
        <w:r>
          <w:rPr>
            <w:color w:val="0563C1"/>
            <w:u w:val="single"/>
          </w:rPr>
          <w:t>commit-pinned Python implementation</w:t>
        </w:r>
      </w:hyperlink>
      <w:r>
        <w:t xml:space="preserve"> stores the default audit log in memory. Hash chains and Merkle proofs do not prevent deletion, rollback, or recomputation unless roots and events are exported to an independently controlled append-only store.</w:t>
      </w:r>
    </w:p>
    <w:p>
      <w:pPr>
        <w:pStyle w:val="Heading3"/>
      </w:pPr>
      <w:r>
        <w:t>6.4 Maturity</w:t>
      </w:r>
    </w:p>
    <w:p>
      <w:r>
        <w:t xml:space="preserve">At the reviewed commit </w:t>
      </w:r>
      <w:hyperlink r:id="rId95">
        <w:r>
          <w:rPr>
            <w:color w:val="0563C1"/>
            <w:u w:val="single"/>
          </w:rPr>
          <w:t>`c63c51e`</w:t>
        </w:r>
      </w:hyperlink>
      <w:r>
        <w:t xml:space="preserve">, AGT was a high-velocity public preview. The dated </w:t>
      </w:r>
      <w:hyperlink r:id="rId9">
        <w:r>
          <w:rPr>
            <w:color w:val="0563C1"/>
            <w:u w:val="single"/>
          </w:rPr>
          <w:t>repository page</w:t>
        </w:r>
      </w:hyperlink>
      <w:r>
        <w:t xml:space="preserve"> showed approximately 6.3k stars, 1.1k forks, and 2,617 commits; the tree covered five language families and extensive tests. The commit-pinned </w:t>
      </w:r>
      <w:hyperlink r:id="rId96">
        <w:r>
          <w:rPr>
            <w:color w:val="0563C1"/>
            <w:u w:val="single"/>
          </w:rPr>
          <w:t>README</w:t>
        </w:r>
      </w:hyperlink>
      <w:r>
        <w:t xml:space="preserve"> labels the project public preview, while </w:t>
      </w:r>
      <w:hyperlink r:id="rId97">
        <w:r>
          <w:rPr>
            <w:color w:val="0563C1"/>
            <w:u w:val="single"/>
          </w:rPr>
          <w:t>security/version documentation</w:t>
        </w:r>
      </w:hyperlink>
      <w:r>
        <w:t xml:space="preserve"> and </w:t>
      </w:r>
      <w:hyperlink r:id="rId98">
        <w:r>
          <w:rPr>
            <w:color w:val="0563C1"/>
            <w:u w:val="single"/>
          </w:rPr>
          <w:t>breaking changes</w:t>
        </w:r>
      </w:hyperlink>
      <w:r>
        <w:t xml:space="preserve"> expose the current support and churn risks.</w:t>
      </w:r>
    </w:p>
    <w:p>
      <w:r>
        <w:t>Important adoption risks include:</w:t>
      </w:r>
    </w:p>
    <w:p>
      <w:pPr>
        <w:pStyle w:val="ListBullet"/>
      </w:pPr>
      <w:r>
        <w:t>fast API and package churn;</w:t>
      </w:r>
    </w:p>
    <w:p>
      <w:pPr>
        <w:pStyle w:val="ListBullet"/>
      </w:pPr>
      <w:r>
        <w:t>uneven cross-language semantics, including identity-prefix differences;</w:t>
      </w:r>
    </w:p>
    <w:p>
      <w:pPr>
        <w:pStyle w:val="ListBullet"/>
      </w:pPr>
      <w:r>
        <w:t>formal releases lagging source/tag state at the evidence date;</w:t>
      </w:r>
    </w:p>
    <w:p>
      <w:pPr>
        <w:pStyle w:val="ListBullet"/>
      </w:pPr>
      <w:r>
        <w:t>stale or inconsistent version-support documentation;</w:t>
      </w:r>
    </w:p>
    <w:p>
      <w:pPr>
        <w:pStyle w:val="ListBullet"/>
      </w:pPr>
      <w:r>
        <w:t>host obligations changing during ACS extraction;</w:t>
      </w:r>
    </w:p>
    <w:p>
      <w:pPr>
        <w:pStyle w:val="ListBullet"/>
      </w:pPr>
      <w:r>
        <w:t>cooperative rather than authoritative process termination;</w:t>
      </w:r>
    </w:p>
    <w:p>
      <w:pPr>
        <w:pStyle w:val="ListBullet"/>
      </w:pPr>
      <w:r>
        <w:t>remote-manifest hardening concerns documented in breaking-change notes;</w:t>
      </w:r>
    </w:p>
    <w:p>
      <w:pPr>
        <w:pStyle w:val="ListBullet"/>
      </w:pPr>
      <w:r>
        <w:t>public adopter information that is directional rather than independently verified.</w:t>
      </w:r>
    </w:p>
    <w:p>
      <w:r>
        <w:t>The MIT license is permissive, but license suitability does not remove integration, support, or maturity risk.</w:t>
      </w:r>
    </w:p>
    <w:p>
      <w:pPr>
        <w:pStyle w:val="Heading3"/>
      </w:pPr>
      <w:r>
        <w:t>6.5 Industry position</w:t>
      </w:r>
    </w:p>
    <w:tbl>
      <w:tblPr>
        <w:tblStyle w:val="TableGrid"/>
        <w:tblW w:type="auto" w:w="0"/>
        <w:jc w:val="center"/>
        <w:tblLayout w:type="autofit"/>
        <w:tblLook w:firstColumn="1" w:firstRow="1" w:lastColumn="0" w:lastRow="0" w:noHBand="0" w:noVBand="1" w:val="04A0"/>
      </w:tblPr>
      <w:tblGrid>
        <w:gridCol w:w="7560"/>
        <w:gridCol w:w="7560"/>
      </w:tblGrid>
      <w:tr>
        <w:trPr>
          <w:tblHeader w:val="true"/>
        </w:trPr>
        <w:tc>
          <w:tcPr>
            <w:tcW w:type="dxa" w:w="7560"/>
            <w:vAlign w:val="center"/>
            <w:shd w:fill="D9EAF7"/>
          </w:tcPr>
          <w:p>
            <w:pPr>
              <w:spacing w:after="20"/>
            </w:pPr>
            <w:r>
              <w:rPr>
                <w:b/>
                <w:sz w:val="20"/>
                <w:szCs w:val="20"/>
              </w:rPr>
              <w:t>Industry layer</w:t>
            </w:r>
          </w:p>
        </w:tc>
        <w:tc>
          <w:tcPr>
            <w:tcW w:type="dxa" w:w="7560"/>
            <w:vAlign w:val="center"/>
            <w:shd w:fill="D9EAF7"/>
          </w:tcPr>
          <w:p>
            <w:pPr>
              <w:spacing w:after="20"/>
            </w:pPr>
            <w:r>
              <w:rPr>
                <w:b/>
                <w:sz w:val="20"/>
                <w:szCs w:val="20"/>
              </w:rPr>
              <w:t>AGT fit</w:t>
            </w:r>
          </w:p>
        </w:tc>
      </w:tr>
      <w:tr>
        <w:tc>
          <w:tcPr>
            <w:tcW w:type="dxa" w:w="7560"/>
            <w:vAlign w:val="center"/>
          </w:tcPr>
          <w:p>
            <w:pPr>
              <w:spacing w:after="20"/>
            </w:pPr>
            <w:r>
              <w:rPr>
                <w:sz w:val="20"/>
                <w:szCs w:val="20"/>
              </w:rPr>
              <w:t>Runtime action policy PDP</w:t>
            </w:r>
          </w:p>
        </w:tc>
        <w:tc>
          <w:tcPr>
            <w:tcW w:type="dxa" w:w="7560"/>
            <w:vAlign w:val="center"/>
          </w:tcPr>
          <w:p>
            <w:pPr>
              <w:spacing w:after="20"/>
            </w:pPr>
            <w:r>
              <w:rPr>
                <w:b/>
                <w:sz w:val="20"/>
                <w:szCs w:val="20"/>
              </w:rPr>
              <w:t>Core strength</w:t>
            </w:r>
            <w:r>
              <w:rPr>
                <w:sz w:val="20"/>
                <w:szCs w:val="20"/>
              </w:rPr>
              <w:t>: stateless ACS evaluation with multiple policy backends; determinism depends on identical snapshots and dispatcher outputs</w:t>
            </w:r>
          </w:p>
        </w:tc>
      </w:tr>
      <w:tr>
        <w:tc>
          <w:tcPr>
            <w:tcW w:type="dxa" w:w="7560"/>
            <w:vAlign w:val="center"/>
          </w:tcPr>
          <w:p>
            <w:pPr>
              <w:spacing w:after="20"/>
            </w:pPr>
            <w:r>
              <w:rPr>
                <w:sz w:val="20"/>
                <w:szCs w:val="20"/>
              </w:rPr>
              <w:t>Framework/runtime PEP</w:t>
            </w:r>
          </w:p>
        </w:tc>
        <w:tc>
          <w:tcPr>
            <w:tcW w:type="dxa" w:w="7560"/>
            <w:vAlign w:val="center"/>
          </w:tcPr>
          <w:p>
            <w:pPr>
              <w:spacing w:after="20"/>
            </w:pPr>
            <w:r>
              <w:rPr>
                <w:b/>
                <w:sz w:val="20"/>
                <w:szCs w:val="20"/>
              </w:rPr>
              <w:t>Core but integration-dependent</w:t>
            </w:r>
            <w:r>
              <w:rPr>
                <w:sz w:val="20"/>
                <w:szCs w:val="20"/>
              </w:rPr>
              <w:t>: adapters, middleware, sidecar, MCP gateway</w:t>
            </w:r>
          </w:p>
        </w:tc>
      </w:tr>
      <w:tr>
        <w:tc>
          <w:tcPr>
            <w:tcW w:type="dxa" w:w="7560"/>
            <w:vAlign w:val="center"/>
          </w:tcPr>
          <w:p>
            <w:pPr>
              <w:spacing w:after="20"/>
            </w:pPr>
            <w:r>
              <w:rPr>
                <w:sz w:val="20"/>
                <w:szCs w:val="20"/>
              </w:rPr>
              <w:t>Agent identity/delegation</w:t>
            </w:r>
          </w:p>
        </w:tc>
        <w:tc>
          <w:tcPr>
            <w:tcW w:type="dxa" w:w="7560"/>
            <w:vAlign w:val="center"/>
          </w:tcPr>
          <w:p>
            <w:pPr>
              <w:spacing w:after="20"/>
            </w:pPr>
            <w:r>
              <w:rPr>
                <w:b/>
                <w:sz w:val="20"/>
                <w:szCs w:val="20"/>
              </w:rPr>
              <w:t>Substantial overlay</w:t>
            </w:r>
            <w:r>
              <w:rPr>
                <w:sz w:val="20"/>
                <w:szCs w:val="20"/>
              </w:rPr>
              <w:t xml:space="preserve"> requiring enterprise IAM/KMS/workload integration</w:t>
            </w:r>
          </w:p>
        </w:tc>
      </w:tr>
      <w:tr>
        <w:tc>
          <w:tcPr>
            <w:tcW w:type="dxa" w:w="7560"/>
            <w:vAlign w:val="center"/>
          </w:tcPr>
          <w:p>
            <w:pPr>
              <w:spacing w:after="20"/>
            </w:pPr>
            <w:r>
              <w:rPr>
                <w:sz w:val="20"/>
                <w:szCs w:val="20"/>
              </w:rPr>
              <w:t>Audit/evidence</w:t>
            </w:r>
          </w:p>
        </w:tc>
        <w:tc>
          <w:tcPr>
            <w:tcW w:type="dxa" w:w="7560"/>
            <w:vAlign w:val="center"/>
          </w:tcPr>
          <w:p>
            <w:pPr>
              <w:spacing w:after="20"/>
            </w:pPr>
            <w:r>
              <w:rPr>
                <w:b/>
                <w:sz w:val="20"/>
                <w:szCs w:val="20"/>
              </w:rPr>
              <w:t>Strong SDK primitives</w:t>
            </w:r>
            <w:r>
              <w:rPr>
                <w:sz w:val="20"/>
                <w:szCs w:val="20"/>
              </w:rPr>
              <w:t xml:space="preserve"> requiring durable host storage and independent anchoring</w:t>
            </w:r>
          </w:p>
        </w:tc>
      </w:tr>
      <w:tr>
        <w:tc>
          <w:tcPr>
            <w:tcW w:type="dxa" w:w="7560"/>
            <w:vAlign w:val="center"/>
          </w:tcPr>
          <w:p>
            <w:pPr>
              <w:spacing w:after="20"/>
            </w:pPr>
            <w:r>
              <w:rPr>
                <w:sz w:val="20"/>
                <w:szCs w:val="20"/>
              </w:rPr>
              <w:t>MCP/tool security</w:t>
            </w:r>
          </w:p>
        </w:tc>
        <w:tc>
          <w:tcPr>
            <w:tcW w:type="dxa" w:w="7560"/>
            <w:vAlign w:val="center"/>
          </w:tcPr>
          <w:p>
            <w:pPr>
              <w:spacing w:after="20"/>
            </w:pPr>
            <w:r>
              <w:rPr>
                <w:b/>
                <w:sz w:val="20"/>
                <w:szCs w:val="20"/>
              </w:rPr>
              <w:t>Strong complementary module</w:t>
            </w:r>
          </w:p>
        </w:tc>
      </w:tr>
      <w:tr>
        <w:tc>
          <w:tcPr>
            <w:tcW w:type="dxa" w:w="7560"/>
            <w:vAlign w:val="center"/>
          </w:tcPr>
          <w:p>
            <w:pPr>
              <w:spacing w:after="20"/>
            </w:pPr>
            <w:r>
              <w:rPr>
                <w:sz w:val="20"/>
                <w:szCs w:val="20"/>
              </w:rPr>
              <w:t>Model/content safety</w:t>
            </w:r>
          </w:p>
        </w:tc>
        <w:tc>
          <w:tcPr>
            <w:tcW w:type="dxa" w:w="7560"/>
            <w:vAlign w:val="center"/>
          </w:tcPr>
          <w:p>
            <w:pPr>
              <w:spacing w:after="20"/>
            </w:pPr>
            <w:r>
              <w:rPr>
                <w:b/>
                <w:sz w:val="20"/>
                <w:szCs w:val="20"/>
              </w:rPr>
              <w:t>Partial</w:t>
            </w:r>
            <w:r>
              <w:rPr>
                <w:sz w:val="20"/>
                <w:szCs w:val="20"/>
              </w:rPr>
              <w:t>: lifecycle hooks and optional classifiers, not complete model safety</w:t>
            </w:r>
          </w:p>
        </w:tc>
      </w:tr>
      <w:tr>
        <w:tc>
          <w:tcPr>
            <w:tcW w:type="dxa" w:w="7560"/>
            <w:vAlign w:val="center"/>
          </w:tcPr>
          <w:p>
            <w:pPr>
              <w:spacing w:after="20"/>
            </w:pPr>
            <w:r>
              <w:rPr>
                <w:sz w:val="20"/>
                <w:szCs w:val="20"/>
              </w:rPr>
              <w:t>Data/RAG governance</w:t>
            </w:r>
          </w:p>
        </w:tc>
        <w:tc>
          <w:tcPr>
            <w:tcW w:type="dxa" w:w="7560"/>
            <w:vAlign w:val="center"/>
          </w:tcPr>
          <w:p>
            <w:pPr>
              <w:spacing w:after="20"/>
            </w:pPr>
            <w:r>
              <w:rPr>
                <w:b/>
                <w:sz w:val="20"/>
                <w:szCs w:val="20"/>
              </w:rPr>
              <w:t>Gap/integration seam</w:t>
            </w:r>
          </w:p>
        </w:tc>
      </w:tr>
      <w:tr>
        <w:tc>
          <w:tcPr>
            <w:tcW w:type="dxa" w:w="7560"/>
            <w:vAlign w:val="center"/>
          </w:tcPr>
          <w:p>
            <w:pPr>
              <w:spacing w:after="20"/>
            </w:pPr>
            <w:r>
              <w:rPr>
                <w:sz w:val="20"/>
                <w:szCs w:val="20"/>
              </w:rPr>
              <w:t>Workload isolation</w:t>
            </w:r>
          </w:p>
        </w:tc>
        <w:tc>
          <w:tcPr>
            <w:tcW w:type="dxa" w:w="7560"/>
            <w:vAlign w:val="center"/>
          </w:tcPr>
          <w:p>
            <w:pPr>
              <w:spacing w:after="20"/>
            </w:pPr>
            <w:r>
              <w:rPr>
                <w:b/>
                <w:sz w:val="20"/>
                <w:szCs w:val="20"/>
              </w:rPr>
              <w:t>Defense-in-depth helpers, not the hard boundary</w:t>
            </w:r>
          </w:p>
        </w:tc>
      </w:tr>
      <w:tr>
        <w:tc>
          <w:tcPr>
            <w:tcW w:type="dxa" w:w="7560"/>
            <w:vAlign w:val="center"/>
          </w:tcPr>
          <w:p>
            <w:pPr>
              <w:spacing w:after="20"/>
            </w:pPr>
            <w:r>
              <w:rPr>
                <w:sz w:val="20"/>
                <w:szCs w:val="20"/>
              </w:rPr>
              <w:t>IAM/PAM/secrets</w:t>
            </w:r>
          </w:p>
        </w:tc>
        <w:tc>
          <w:tcPr>
            <w:tcW w:type="dxa" w:w="7560"/>
            <w:vAlign w:val="center"/>
          </w:tcPr>
          <w:p>
            <w:pPr>
              <w:spacing w:after="20"/>
            </w:pPr>
            <w:r>
              <w:rPr>
                <w:b/>
                <w:sz w:val="20"/>
                <w:szCs w:val="20"/>
              </w:rPr>
              <w:t>Not a replacement</w:t>
            </w:r>
          </w:p>
        </w:tc>
      </w:tr>
      <w:tr>
        <w:tc>
          <w:tcPr>
            <w:tcW w:type="dxa" w:w="7560"/>
            <w:vAlign w:val="center"/>
          </w:tcPr>
          <w:p>
            <w:pPr>
              <w:spacing w:after="20"/>
            </w:pPr>
            <w:r>
              <w:rPr>
                <w:sz w:val="20"/>
                <w:szCs w:val="20"/>
              </w:rPr>
              <w:t>Enterprise GRC/SIEM</w:t>
            </w:r>
          </w:p>
        </w:tc>
        <w:tc>
          <w:tcPr>
            <w:tcW w:type="dxa" w:w="7560"/>
            <w:vAlign w:val="center"/>
          </w:tcPr>
          <w:p>
            <w:pPr>
              <w:spacing w:after="20"/>
            </w:pPr>
            <w:r>
              <w:rPr>
                <w:b/>
                <w:sz w:val="20"/>
                <w:szCs w:val="20"/>
              </w:rPr>
              <w:t>Not a replacement</w:t>
            </w:r>
          </w:p>
        </w:tc>
      </w:tr>
      <w:tr>
        <w:tc>
          <w:tcPr>
            <w:tcW w:type="dxa" w:w="7560"/>
            <w:vAlign w:val="center"/>
          </w:tcPr>
          <w:p>
            <w:pPr>
              <w:spacing w:after="20"/>
            </w:pPr>
            <w:r>
              <w:rPr>
                <w:sz w:val="20"/>
                <w:szCs w:val="20"/>
              </w:rPr>
              <w:t>Managed governance control plane</w:t>
            </w:r>
          </w:p>
        </w:tc>
        <w:tc>
          <w:tcPr>
            <w:tcW w:type="dxa" w:w="7560"/>
            <w:vAlign w:val="center"/>
          </w:tcPr>
          <w:p>
            <w:pPr>
              <w:spacing w:after="20"/>
            </w:pPr>
            <w:r>
              <w:rPr>
                <w:b/>
                <w:sz w:val="20"/>
                <w:szCs w:val="20"/>
              </w:rPr>
              <w:t>Not present as a turnkey multi-tenant service</w:t>
            </w:r>
          </w:p>
        </w:tc>
      </w:tr>
    </w:tbl>
    <w:p/>
    <w:p>
      <w:r>
        <w:t xml:space="preserve">AGT fits between stochastic agent logic and deterministic enterprise controls. It competes most directly with embeddable runtime guardrail and policy projects while complementing enterprise identity, credential, gateway, isolation, observability, and GRC systems. Its correct industry-map position is </w:t>
      </w:r>
      <w:r>
        <w:rPr>
          <w:b/>
        </w:rPr>
        <w:t>agent runtime governance middleware</w:t>
      </w:r>
      <w:r>
        <w:t>, not a turnkey end-to-end governance platform.</w:t>
      </w:r>
    </w:p>
    <w:p>
      <w:r>
        <w:t>This position explains both its breadth and its gaps. AGT confirms the broader market finding that an agent application needs a deterministic interception layer, but also demonstrates why that layer cannot govern alone:</w:t>
      </w:r>
    </w:p>
    <w:p>
      <w:pPr>
        <w:pStyle w:val="ListBullet"/>
      </w:pPr>
      <w:r>
        <w:t>policy effectiveness depends on complete, non-bypassable integration;</w:t>
      </w:r>
    </w:p>
    <w:p>
      <w:pPr>
        <w:pStyle w:val="ListBullet"/>
      </w:pPr>
      <w:r>
        <w:t>agent identity needs authoritative enterprise identity and credential systems;</w:t>
      </w:r>
    </w:p>
    <w:p>
      <w:pPr>
        <w:pStyle w:val="ListBullet"/>
      </w:pPr>
      <w:r>
        <w:t>action records need durable external evidence storage;</w:t>
      </w:r>
    </w:p>
    <w:p>
      <w:pPr>
        <w:pStyle w:val="ListBullet"/>
      </w:pPr>
      <w:r>
        <w:t>runtime policy does not create workload isolation;</w:t>
      </w:r>
    </w:p>
    <w:p>
      <w:pPr>
        <w:pStyle w:val="ListBullet"/>
      </w:pPr>
      <w:r>
        <w:t>standards mappings do not establish compliance; and</w:t>
      </w:r>
    </w:p>
    <w:p>
      <w:pPr>
        <w:pStyle w:val="ListBullet"/>
      </w:pPr>
      <w:r>
        <w:t>one middleware layer cannot govern alternate shell, network, computer-use, or downstream workload paths.</w:t>
      </w:r>
    </w:p>
    <w:p>
      <w:r>
        <w:t>The practical implication is to adopt AGT selectively. Its policy, adapter, identity-context, MCP, and evidence patterns can reduce implementation effort, but enterprise and host systems remain authoritative for access, containment, persistence, and response.</w:t>
      </w:r>
    </w:p>
    <w:p>
      <w:pPr>
        <w:pStyle w:val="Heading2"/>
      </w:pPr>
      <w:r>
        <w:t>7. CAF v2: fit, build-versus-reuse, and AGT evaluation</w:t>
      </w:r>
    </w:p>
    <w:p>
      <w:r>
        <w:t>CAF and AGT overlap at the runtime policy/interception seam, but they solve different product problems. CAF provides a stable compatibility and evidence boundary for replaceable agent runtimes on managed HPC. AGT is a candidate implementation within that boundary. Combining the architecture and evaluation decisions makes the dependency choice explicit rather than treating AGT as a parallel product strategy.</w:t>
      </w:r>
    </w:p>
    <w:p>
      <w:pPr>
        <w:pStyle w:val="Heading3"/>
      </w:pPr>
      <w:r>
        <w:t>7.1 CAF product boundary</w:t>
      </w:r>
    </w:p>
    <w:p>
      <w:r>
        <w:t>CAF v2 already draws the right high-level boundary:</w:t>
      </w:r>
    </w:p>
    <w:p>
      <w:pPr>
        <w:pStyle w:val="ListBullet"/>
      </w:pPr>
      <w:r>
        <w:t>the selected runtime owns reasoning, memory, and context;</w:t>
      </w:r>
    </w:p>
    <w:p>
      <w:pPr>
        <w:pStyle w:val="ListBullet"/>
      </w:pPr>
      <w:r>
        <w:t>CAF routes designated tool and inference operations through adapters;</w:t>
      </w:r>
    </w:p>
    <w:p>
      <w:pPr>
        <w:pStyle w:val="ListBullet"/>
      </w:pPr>
      <w:r>
        <w:t>the host supplies policy and hard enforcement;</w:t>
      </w:r>
    </w:p>
    <w:p>
      <w:pPr>
        <w:pStyle w:val="ListBullet"/>
      </w:pPr>
      <w:r>
        <w:t>CAF emits application-level evidence for the managed path;</w:t>
      </w:r>
    </w:p>
    <w:p>
      <w:pPr>
        <w:pStyle w:val="ListBullet"/>
      </w:pPr>
      <w:r>
        <w:t>the host owns image admission, identity, credentials, scheduling, mounts, network, resources, telemetry, retention, and incident response.</w:t>
      </w:r>
    </w:p>
    <w:p>
      <w:r>
        <w:t xml:space="preserve">The dated MVP baseline pins </w:t>
      </w:r>
      <w:r>
        <w:rPr>
          <w:rFonts w:ascii="Consolas" w:hAnsi="Consolas"/>
          <w:sz w:val="20"/>
        </w:rPr>
        <w:t>@earendil-works/pi-coding-agent@0.83.0</w:t>
      </w:r>
      <w:r>
        <w:t>. That exact pin supports reproducibility for the first profile; it is not a permanent product dependency.</w:t>
      </w:r>
    </w:p>
    <w:p>
      <w:r>
        <w:t xml:space="preserve">This makes CAF an </w:t>
      </w:r>
      <w:r>
        <w:rPr>
          <w:b/>
        </w:rPr>
        <w:t>agent-runtime compatibility and evidence layer for managed HPC</w:t>
      </w:r>
      <w:r>
        <w:t>. It should remain narrower than AGT’s full repository scope and narrower than cloud agent platforms.</w:t>
      </w:r>
    </w:p>
    <w:p>
      <w:pPr>
        <w:pStyle w:val="Heading3"/>
      </w:pPr>
      <w:r>
        <w:t>7.2 Capability decision matrix</w:t>
      </w:r>
    </w:p>
    <w:tbl>
      <w:tblPr>
        <w:tblStyle w:val="TableGrid"/>
        <w:tblW w:type="auto" w:w="0"/>
        <w:jc w:val="center"/>
        <w:tblLayout w:type="autofit"/>
        <w:tblLook w:firstColumn="1" w:firstRow="1" w:lastColumn="0" w:lastRow="0" w:noHBand="0" w:noVBand="1" w:val="04A0"/>
      </w:tblPr>
      <w:tblGrid>
        <w:gridCol w:w="3024"/>
        <w:gridCol w:w="3024"/>
        <w:gridCol w:w="3024"/>
        <w:gridCol w:w="3024"/>
        <w:gridCol w:w="3024"/>
      </w:tblGrid>
      <w:tr>
        <w:trPr>
          <w:tblHeader w:val="true"/>
        </w:trPr>
        <w:tc>
          <w:tcPr>
            <w:tcW w:type="dxa" w:w="3024"/>
            <w:vAlign w:val="center"/>
            <w:shd w:fill="D9EAF7"/>
          </w:tcPr>
          <w:p>
            <w:pPr>
              <w:spacing w:after="20"/>
            </w:pPr>
            <w:r>
              <w:rPr>
                <w:b/>
                <w:sz w:val="20"/>
                <w:szCs w:val="20"/>
              </w:rPr>
              <w:t>Capability</w:t>
            </w:r>
          </w:p>
        </w:tc>
        <w:tc>
          <w:tcPr>
            <w:tcW w:type="dxa" w:w="3024"/>
            <w:vAlign w:val="center"/>
            <w:shd w:fill="D9EAF7"/>
          </w:tcPr>
          <w:p>
            <w:pPr>
              <w:spacing w:after="20"/>
            </w:pPr>
            <w:r>
              <w:rPr>
                <w:b/>
                <w:sz w:val="20"/>
                <w:szCs w:val="20"/>
              </w:rPr>
              <w:t>Decision</w:t>
            </w:r>
          </w:p>
        </w:tc>
        <w:tc>
          <w:tcPr>
            <w:tcW w:type="dxa" w:w="3024"/>
            <w:vAlign w:val="center"/>
            <w:shd w:fill="D9EAF7"/>
          </w:tcPr>
          <w:p>
            <w:pPr>
              <w:spacing w:after="20"/>
            </w:pPr>
            <w:r>
              <w:rPr>
                <w:b/>
                <w:sz w:val="20"/>
                <w:szCs w:val="20"/>
              </w:rPr>
              <w:t>CAF owns</w:t>
            </w:r>
          </w:p>
        </w:tc>
        <w:tc>
          <w:tcPr>
            <w:tcW w:type="dxa" w:w="3024"/>
            <w:vAlign w:val="center"/>
            <w:shd w:fill="D9EAF7"/>
          </w:tcPr>
          <w:p>
            <w:pPr>
              <w:spacing w:after="20"/>
            </w:pPr>
            <w:r>
              <w:rPr>
                <w:b/>
                <w:sz w:val="20"/>
                <w:szCs w:val="20"/>
              </w:rPr>
              <w:t>Reuse/integrate</w:t>
            </w:r>
          </w:p>
        </w:tc>
        <w:tc>
          <w:tcPr>
            <w:tcW w:type="dxa" w:w="3024"/>
            <w:vAlign w:val="center"/>
            <w:shd w:fill="D9EAF7"/>
          </w:tcPr>
          <w:p>
            <w:pPr>
              <w:spacing w:after="20"/>
            </w:pPr>
            <w:r>
              <w:rPr>
                <w:b/>
                <w:sz w:val="20"/>
                <w:szCs w:val="20"/>
              </w:rPr>
              <w:t>AGT role</w:t>
            </w:r>
          </w:p>
        </w:tc>
      </w:tr>
      <w:tr>
        <w:tc>
          <w:tcPr>
            <w:tcW w:type="dxa" w:w="3024"/>
            <w:vAlign w:val="center"/>
          </w:tcPr>
          <w:p>
            <w:pPr>
              <w:spacing w:after="20"/>
            </w:pPr>
            <w:r>
              <w:rPr>
                <w:sz w:val="20"/>
                <w:szCs w:val="20"/>
              </w:rPr>
              <w:t>CAF run/call contract</w:t>
            </w:r>
          </w:p>
        </w:tc>
        <w:tc>
          <w:tcPr>
            <w:tcW w:type="dxa" w:w="3024"/>
            <w:vAlign w:val="center"/>
          </w:tcPr>
          <w:p>
            <w:pPr>
              <w:spacing w:after="20"/>
            </w:pPr>
            <w:r>
              <w:rPr>
                <w:b/>
                <w:sz w:val="20"/>
                <w:szCs w:val="20"/>
              </w:rPr>
              <w:t>Build</w:t>
            </w:r>
          </w:p>
        </w:tc>
        <w:tc>
          <w:tcPr>
            <w:tcW w:type="dxa" w:w="3024"/>
            <w:vAlign w:val="center"/>
          </w:tcPr>
          <w:p>
            <w:pPr>
              <w:spacing w:after="20"/>
            </w:pPr>
            <w:r>
              <w:rPr>
                <w:sz w:val="20"/>
                <w:szCs w:val="20"/>
              </w:rPr>
              <w:t>IDs, operation envelope, status/error semantics, versioning</w:t>
            </w:r>
          </w:p>
        </w:tc>
        <w:tc>
          <w:tcPr>
            <w:tcW w:type="dxa" w:w="3024"/>
            <w:vAlign w:val="center"/>
          </w:tcPr>
          <w:p>
            <w:pPr>
              <w:spacing w:after="20"/>
            </w:pPr>
            <w:r>
              <w:rPr>
                <w:sz w:val="20"/>
                <w:szCs w:val="20"/>
              </w:rPr>
              <w:t>JSON Schema/open formats</w:t>
            </w:r>
          </w:p>
        </w:tc>
        <w:tc>
          <w:tcPr>
            <w:tcW w:type="dxa" w:w="3024"/>
            <w:vAlign w:val="center"/>
          </w:tcPr>
          <w:p>
            <w:pPr>
              <w:spacing w:after="20"/>
            </w:pPr>
            <w:r>
              <w:rPr>
                <w:sz w:val="20"/>
                <w:szCs w:val="20"/>
              </w:rPr>
              <w:t>Learn from ACS; do not make ACS the public CAF contract initially</w:t>
            </w:r>
          </w:p>
        </w:tc>
      </w:tr>
      <w:tr>
        <w:tc>
          <w:tcPr>
            <w:tcW w:type="dxa" w:w="3024"/>
            <w:vAlign w:val="center"/>
          </w:tcPr>
          <w:p>
            <w:pPr>
              <w:spacing w:after="20"/>
            </w:pPr>
            <w:r>
              <w:rPr>
                <w:sz w:val="20"/>
                <w:szCs w:val="20"/>
              </w:rPr>
              <w:t>Runtime adapter SDK</w:t>
            </w:r>
          </w:p>
        </w:tc>
        <w:tc>
          <w:tcPr>
            <w:tcW w:type="dxa" w:w="3024"/>
            <w:vAlign w:val="center"/>
          </w:tcPr>
          <w:p>
            <w:pPr>
              <w:spacing w:after="20"/>
            </w:pPr>
            <w:r>
              <w:rPr>
                <w:b/>
                <w:sz w:val="20"/>
                <w:szCs w:val="20"/>
              </w:rPr>
              <w:t>Build</w:t>
            </w:r>
          </w:p>
        </w:tc>
        <w:tc>
          <w:tcPr>
            <w:tcW w:type="dxa" w:w="3024"/>
            <w:vAlign w:val="center"/>
          </w:tcPr>
          <w:p>
            <w:pPr>
              <w:spacing w:after="20"/>
            </w:pPr>
            <w:r>
              <w:rPr>
                <w:sz w:val="20"/>
                <w:szCs w:val="20"/>
              </w:rPr>
              <w:t>Minimal SPI for selected tools, inference, context, outcomes</w:t>
            </w:r>
          </w:p>
        </w:tc>
        <w:tc>
          <w:tcPr>
            <w:tcW w:type="dxa" w:w="3024"/>
            <w:vAlign w:val="center"/>
          </w:tcPr>
          <w:p>
            <w:pPr>
              <w:spacing w:after="20"/>
            </w:pPr>
            <w:r>
              <w:rPr>
                <w:sz w:val="20"/>
                <w:szCs w:val="20"/>
              </w:rPr>
              <w:t>Runtime extension APIs</w:t>
            </w:r>
          </w:p>
        </w:tc>
        <w:tc>
          <w:tcPr>
            <w:tcW w:type="dxa" w:w="3024"/>
            <w:vAlign w:val="center"/>
          </w:tcPr>
          <w:p>
            <w:pPr>
              <w:spacing w:after="20"/>
            </w:pPr>
            <w:r>
              <w:rPr>
                <w:sz w:val="20"/>
                <w:szCs w:val="20"/>
              </w:rPr>
              <w:t>Evaluate AGT adapter/ACS embedding patterns</w:t>
            </w:r>
          </w:p>
        </w:tc>
      </w:tr>
      <w:tr>
        <w:tc>
          <w:tcPr>
            <w:tcW w:type="dxa" w:w="3024"/>
            <w:vAlign w:val="center"/>
          </w:tcPr>
          <w:p>
            <w:pPr>
              <w:spacing w:after="20"/>
            </w:pPr>
            <w:r>
              <w:rPr>
                <w:sz w:val="20"/>
                <w:szCs w:val="20"/>
              </w:rPr>
              <w:t>Runtime admission</w:t>
            </w:r>
          </w:p>
        </w:tc>
        <w:tc>
          <w:tcPr>
            <w:tcW w:type="dxa" w:w="3024"/>
            <w:vAlign w:val="center"/>
          </w:tcPr>
          <w:p>
            <w:pPr>
              <w:spacing w:after="20"/>
            </w:pPr>
            <w:r>
              <w:rPr>
                <w:b/>
                <w:sz w:val="20"/>
                <w:szCs w:val="20"/>
              </w:rPr>
              <w:t>Build</w:t>
            </w:r>
          </w:p>
        </w:tc>
        <w:tc>
          <w:tcPr>
            <w:tcW w:type="dxa" w:w="3024"/>
            <w:vAlign w:val="center"/>
          </w:tcPr>
          <w:p>
            <w:pPr>
              <w:spacing w:after="20"/>
            </w:pPr>
            <w:r>
              <w:rPr>
                <w:sz w:val="20"/>
                <w:szCs w:val="20"/>
              </w:rPr>
              <w:t>Manifest, effective tool surface, bypass limits, conformance tests</w:t>
            </w:r>
          </w:p>
        </w:tc>
        <w:tc>
          <w:tcPr>
            <w:tcW w:type="dxa" w:w="3024"/>
            <w:vAlign w:val="center"/>
          </w:tcPr>
          <w:p>
            <w:pPr>
              <w:spacing w:after="20"/>
            </w:pPr>
            <w:r>
              <w:rPr>
                <w:sz w:val="20"/>
                <w:szCs w:val="20"/>
              </w:rPr>
              <w:t>CI, signing, scanners</w:t>
            </w:r>
          </w:p>
        </w:tc>
        <w:tc>
          <w:tcPr>
            <w:tcW w:type="dxa" w:w="3024"/>
            <w:vAlign w:val="center"/>
          </w:tcPr>
          <w:p>
            <w:pPr>
              <w:spacing w:after="20"/>
            </w:pPr>
            <w:r>
              <w:rPr>
                <w:sz w:val="20"/>
                <w:szCs w:val="20"/>
              </w:rPr>
              <w:t>Reuse selected test concepts; keep CAF criteria authoritative</w:t>
            </w:r>
          </w:p>
        </w:tc>
      </w:tr>
      <w:tr>
        <w:tc>
          <w:tcPr>
            <w:tcW w:type="dxa" w:w="3024"/>
            <w:vAlign w:val="center"/>
          </w:tcPr>
          <w:p>
            <w:pPr>
              <w:spacing w:after="20"/>
            </w:pPr>
            <w:r>
              <w:rPr>
                <w:sz w:val="20"/>
                <w:szCs w:val="20"/>
              </w:rPr>
              <w:t>Pi integration</w:t>
            </w:r>
          </w:p>
        </w:tc>
        <w:tc>
          <w:tcPr>
            <w:tcW w:type="dxa" w:w="3024"/>
            <w:vAlign w:val="center"/>
          </w:tcPr>
          <w:p>
            <w:pPr>
              <w:spacing w:after="20"/>
            </w:pPr>
            <w:r>
              <w:rPr>
                <w:b/>
                <w:sz w:val="20"/>
                <w:szCs w:val="20"/>
              </w:rPr>
              <w:t>Integrate, no fork</w:t>
            </w:r>
          </w:p>
        </w:tc>
        <w:tc>
          <w:tcPr>
            <w:tcW w:type="dxa" w:w="3024"/>
            <w:vAlign w:val="center"/>
          </w:tcPr>
          <w:p>
            <w:pPr>
              <w:spacing w:after="20"/>
            </w:pPr>
            <w:r>
              <w:rPr>
                <w:sz w:val="20"/>
                <w:szCs w:val="20"/>
              </w:rPr>
              <w:t>Thin Pi adapter</w:t>
            </w:r>
          </w:p>
        </w:tc>
        <w:tc>
          <w:tcPr>
            <w:tcW w:type="dxa" w:w="3024"/>
            <w:vAlign w:val="center"/>
          </w:tcPr>
          <w:p>
            <w:pPr>
              <w:spacing w:after="20"/>
            </w:pPr>
            <w:r>
              <w:rPr>
                <w:sz w:val="20"/>
                <w:szCs w:val="20"/>
              </w:rPr>
              <w:t>Pi reasoning/runtime</w:t>
            </w:r>
          </w:p>
        </w:tc>
        <w:tc>
          <w:tcPr>
            <w:tcW w:type="dxa" w:w="3024"/>
            <w:vAlign w:val="center"/>
          </w:tcPr>
          <w:p>
            <w:pPr>
              <w:spacing w:after="20"/>
            </w:pPr>
            <w:r>
              <w:rPr>
                <w:sz w:val="20"/>
                <w:szCs w:val="20"/>
              </w:rPr>
              <w:t>Pilot AGT only if Pi interception is complete and maintainable</w:t>
            </w:r>
          </w:p>
        </w:tc>
      </w:tr>
      <w:tr>
        <w:tc>
          <w:tcPr>
            <w:tcW w:type="dxa" w:w="3024"/>
            <w:vAlign w:val="center"/>
          </w:tcPr>
          <w:p>
            <w:pPr>
              <w:spacing w:after="20"/>
            </w:pPr>
            <w:r>
              <w:rPr>
                <w:sz w:val="20"/>
                <w:szCs w:val="20"/>
              </w:rPr>
              <w:t>Execution profile</w:t>
            </w:r>
          </w:p>
        </w:tc>
        <w:tc>
          <w:tcPr>
            <w:tcW w:type="dxa" w:w="3024"/>
            <w:vAlign w:val="center"/>
          </w:tcPr>
          <w:p>
            <w:pPr>
              <w:spacing w:after="20"/>
            </w:pPr>
            <w:r>
              <w:rPr>
                <w:b/>
                <w:sz w:val="20"/>
                <w:szCs w:val="20"/>
              </w:rPr>
              <w:t>Build portable core; host resolves/enforces</w:t>
            </w:r>
          </w:p>
        </w:tc>
        <w:tc>
          <w:tcPr>
            <w:tcW w:type="dxa" w:w="3024"/>
            <w:vAlign w:val="center"/>
          </w:tcPr>
          <w:p>
            <w:pPr>
              <w:spacing w:after="20"/>
            </w:pPr>
            <w:r>
              <w:rPr>
                <w:sz w:val="20"/>
                <w:szCs w:val="20"/>
              </w:rPr>
              <w:t>Requested intent classes and resolved-profile reference</w:t>
            </w:r>
          </w:p>
        </w:tc>
        <w:tc>
          <w:tcPr>
            <w:tcW w:type="dxa" w:w="3024"/>
            <w:vAlign w:val="center"/>
          </w:tcPr>
          <w:p>
            <w:pPr>
              <w:spacing w:after="20"/>
            </w:pPr>
            <w:r>
              <w:rPr>
                <w:sz w:val="20"/>
                <w:szCs w:val="20"/>
              </w:rPr>
              <w:t>Site policy and launcher-specific profile</w:t>
            </w:r>
          </w:p>
        </w:tc>
        <w:tc>
          <w:tcPr>
            <w:tcW w:type="dxa" w:w="3024"/>
            <w:vAlign w:val="center"/>
          </w:tcPr>
          <w:p>
            <w:pPr>
              <w:spacing w:after="20"/>
            </w:pPr>
            <w:r>
              <w:rPr>
                <w:sz w:val="20"/>
                <w:szCs w:val="20"/>
              </w:rPr>
              <w:t>AGT may consume context but must not own host resolution</w:t>
            </w:r>
          </w:p>
        </w:tc>
      </w:tr>
      <w:tr>
        <w:tc>
          <w:tcPr>
            <w:tcW w:type="dxa" w:w="3024"/>
            <w:vAlign w:val="center"/>
          </w:tcPr>
          <w:p>
            <w:pPr>
              <w:spacing w:after="20"/>
            </w:pPr>
            <w:r>
              <w:rPr>
                <w:sz w:val="20"/>
                <w:szCs w:val="20"/>
              </w:rPr>
              <w:t>OCI composition and launch</w:t>
            </w:r>
          </w:p>
        </w:tc>
        <w:tc>
          <w:tcPr>
            <w:tcW w:type="dxa" w:w="3024"/>
            <w:vAlign w:val="center"/>
          </w:tcPr>
          <w:p>
            <w:pPr>
              <w:spacing w:after="20"/>
            </w:pPr>
            <w:r>
              <w:rPr>
                <w:b/>
                <w:sz w:val="20"/>
                <w:szCs w:val="20"/>
              </w:rPr>
              <w:t>Reuse with CAF profile</w:t>
            </w:r>
          </w:p>
        </w:tc>
        <w:tc>
          <w:tcPr>
            <w:tcW w:type="dxa" w:w="3024"/>
            <w:vAlign w:val="center"/>
          </w:tcPr>
          <w:p>
            <w:pPr>
              <w:spacing w:after="20"/>
            </w:pPr>
            <w:r>
              <w:rPr>
                <w:sz w:val="20"/>
                <w:szCs w:val="20"/>
              </w:rPr>
              <w:t>Image labels, runtime/adapter compatibility declaration</w:t>
            </w:r>
          </w:p>
        </w:tc>
        <w:tc>
          <w:tcPr>
            <w:tcW w:type="dxa" w:w="3024"/>
            <w:vAlign w:val="center"/>
          </w:tcPr>
          <w:p>
            <w:pPr>
              <w:spacing w:after="20"/>
            </w:pPr>
            <w:r>
              <w:rPr>
                <w:sz w:val="20"/>
                <w:szCs w:val="20"/>
              </w:rPr>
              <w:t>OCI tooling, Apptainer or site-selected runtime</w:t>
            </w:r>
          </w:p>
        </w:tc>
        <w:tc>
          <w:tcPr>
            <w:tcW w:type="dxa" w:w="3024"/>
            <w:vAlign w:val="center"/>
          </w:tcPr>
          <w:p>
            <w:pPr>
              <w:spacing w:after="20"/>
            </w:pPr>
            <w:r>
              <w:rPr>
                <w:sz w:val="20"/>
                <w:szCs w:val="20"/>
              </w:rPr>
              <w:t>No primary AGT role; host owns admission and isolation</w:t>
            </w:r>
          </w:p>
        </w:tc>
      </w:tr>
      <w:tr>
        <w:tc>
          <w:tcPr>
            <w:tcW w:type="dxa" w:w="3024"/>
            <w:vAlign w:val="center"/>
          </w:tcPr>
          <w:p>
            <w:pPr>
              <w:spacing w:after="20"/>
            </w:pPr>
            <w:r>
              <w:rPr>
                <w:sz w:val="20"/>
                <w:szCs w:val="20"/>
              </w:rPr>
              <w:t>Policy engine</w:t>
            </w:r>
          </w:p>
        </w:tc>
        <w:tc>
          <w:tcPr>
            <w:tcW w:type="dxa" w:w="3024"/>
            <w:vAlign w:val="center"/>
          </w:tcPr>
          <w:p>
            <w:pPr>
              <w:spacing w:after="20"/>
            </w:pPr>
            <w:r>
              <w:rPr>
                <w:b/>
                <w:sz w:val="20"/>
                <w:szCs w:val="20"/>
              </w:rPr>
              <w:t>Do not build</w:t>
            </w:r>
          </w:p>
        </w:tc>
        <w:tc>
          <w:tcPr>
            <w:tcW w:type="dxa" w:w="3024"/>
            <w:vAlign w:val="center"/>
          </w:tcPr>
          <w:p>
            <w:pPr>
              <w:spacing w:after="20"/>
            </w:pPr>
            <w:r>
              <w:rPr>
                <w:sz w:val="20"/>
                <w:szCs w:val="20"/>
              </w:rPr>
              <w:t>Vendor-neutral request/decision envelope</w:t>
            </w:r>
          </w:p>
        </w:tc>
        <w:tc>
          <w:tcPr>
            <w:tcW w:type="dxa" w:w="3024"/>
            <w:vAlign w:val="center"/>
          </w:tcPr>
          <w:p>
            <w:pPr>
              <w:spacing w:after="20"/>
            </w:pPr>
            <w:r>
              <w:rPr>
                <w:sz w:val="20"/>
                <w:szCs w:val="20"/>
              </w:rPr>
              <w:t>Host OPA/Cedar/other PDP</w:t>
            </w:r>
          </w:p>
        </w:tc>
        <w:tc>
          <w:tcPr>
            <w:tcW w:type="dxa" w:w="3024"/>
            <w:vAlign w:val="center"/>
          </w:tcPr>
          <w:p>
            <w:pPr>
              <w:spacing w:after="20"/>
            </w:pPr>
            <w:r>
              <w:rPr>
                <w:sz w:val="20"/>
                <w:szCs w:val="20"/>
              </w:rPr>
              <w:t>ACS may be an optional PDP provider</w:t>
            </w:r>
          </w:p>
        </w:tc>
      </w:tr>
      <w:tr>
        <w:tc>
          <w:tcPr>
            <w:tcW w:type="dxa" w:w="3024"/>
            <w:vAlign w:val="center"/>
          </w:tcPr>
          <w:p>
            <w:pPr>
              <w:spacing w:after="20"/>
            </w:pPr>
            <w:r>
              <w:rPr>
                <w:sz w:val="20"/>
                <w:szCs w:val="20"/>
              </w:rPr>
              <w:t>Identity and credentials</w:t>
            </w:r>
          </w:p>
        </w:tc>
        <w:tc>
          <w:tcPr>
            <w:tcW w:type="dxa" w:w="3024"/>
            <w:vAlign w:val="center"/>
          </w:tcPr>
          <w:p>
            <w:pPr>
              <w:spacing w:after="20"/>
            </w:pPr>
            <w:r>
              <w:rPr>
                <w:b/>
                <w:sz w:val="20"/>
                <w:szCs w:val="20"/>
              </w:rPr>
              <w:t>Do not build</w:t>
            </w:r>
          </w:p>
        </w:tc>
        <w:tc>
          <w:tcPr>
            <w:tcW w:type="dxa" w:w="3024"/>
            <w:vAlign w:val="center"/>
          </w:tcPr>
          <w:p>
            <w:pPr>
              <w:spacing w:after="20"/>
            </w:pPr>
            <w:r>
              <w:rPr>
                <w:sz w:val="20"/>
                <w:szCs w:val="20"/>
              </w:rPr>
              <w:t>Opaque fields/references and correlation</w:t>
            </w:r>
          </w:p>
        </w:tc>
        <w:tc>
          <w:tcPr>
            <w:tcW w:type="dxa" w:w="3024"/>
            <w:vAlign w:val="center"/>
          </w:tcPr>
          <w:p>
            <w:pPr>
              <w:spacing w:after="20"/>
            </w:pPr>
            <w:r>
              <w:rPr>
                <w:sz w:val="20"/>
                <w:szCs w:val="20"/>
              </w:rPr>
              <w:t>Site IdP, SPIFFE, secrets/PAM</w:t>
            </w:r>
          </w:p>
        </w:tc>
        <w:tc>
          <w:tcPr>
            <w:tcW w:type="dxa" w:w="3024"/>
            <w:vAlign w:val="center"/>
          </w:tcPr>
          <w:p>
            <w:pPr>
              <w:spacing w:after="20"/>
            </w:pPr>
            <w:r>
              <w:rPr>
                <w:sz w:val="20"/>
                <w:szCs w:val="20"/>
              </w:rPr>
              <w:t>AGT DID/delegation can be optional context, not authority</w:t>
            </w:r>
          </w:p>
        </w:tc>
      </w:tr>
      <w:tr>
        <w:tc>
          <w:tcPr>
            <w:tcW w:type="dxa" w:w="3024"/>
            <w:vAlign w:val="center"/>
          </w:tcPr>
          <w:p>
            <w:pPr>
              <w:spacing w:after="20"/>
            </w:pPr>
            <w:r>
              <w:rPr>
                <w:sz w:val="20"/>
                <w:szCs w:val="20"/>
              </w:rPr>
              <w:t>Image trust/admission</w:t>
            </w:r>
          </w:p>
        </w:tc>
        <w:tc>
          <w:tcPr>
            <w:tcW w:type="dxa" w:w="3024"/>
            <w:vAlign w:val="center"/>
          </w:tcPr>
          <w:p>
            <w:pPr>
              <w:spacing w:after="20"/>
            </w:pPr>
            <w:r>
              <w:rPr>
                <w:b/>
                <w:sz w:val="20"/>
                <w:szCs w:val="20"/>
              </w:rPr>
              <w:t>Host-owned</w:t>
            </w:r>
          </w:p>
        </w:tc>
        <w:tc>
          <w:tcPr>
            <w:tcW w:type="dxa" w:w="3024"/>
            <w:vAlign w:val="center"/>
          </w:tcPr>
          <w:p>
            <w:pPr>
              <w:spacing w:after="20"/>
            </w:pPr>
            <w:r>
              <w:rPr>
                <w:sz w:val="20"/>
                <w:szCs w:val="20"/>
              </w:rPr>
              <w:t>Required CAF manifest claims</w:t>
            </w:r>
          </w:p>
        </w:tc>
        <w:tc>
          <w:tcPr>
            <w:tcW w:type="dxa" w:w="3024"/>
            <w:vAlign w:val="center"/>
          </w:tcPr>
          <w:p>
            <w:pPr>
              <w:spacing w:after="20"/>
            </w:pPr>
            <w:r>
              <w:rPr>
                <w:sz w:val="20"/>
                <w:szCs w:val="20"/>
              </w:rPr>
              <w:t>OCI, Sigstore, host allowlist/admission</w:t>
            </w:r>
          </w:p>
        </w:tc>
        <w:tc>
          <w:tcPr>
            <w:tcW w:type="dxa" w:w="3024"/>
            <w:vAlign w:val="center"/>
          </w:tcPr>
          <w:p>
            <w:pPr>
              <w:spacing w:after="20"/>
            </w:pPr>
            <w:r>
              <w:rPr>
                <w:sz w:val="20"/>
                <w:szCs w:val="20"/>
              </w:rPr>
              <w:t>No primary role</w:t>
            </w:r>
          </w:p>
        </w:tc>
      </w:tr>
      <w:tr>
        <w:tc>
          <w:tcPr>
            <w:tcW w:type="dxa" w:w="3024"/>
            <w:vAlign w:val="center"/>
          </w:tcPr>
          <w:p>
            <w:pPr>
              <w:spacing w:after="20"/>
            </w:pPr>
            <w:r>
              <w:rPr>
                <w:sz w:val="20"/>
                <w:szCs w:val="20"/>
              </w:rPr>
              <w:t>Workspace/file operations</w:t>
            </w:r>
          </w:p>
        </w:tc>
        <w:tc>
          <w:tcPr>
            <w:tcW w:type="dxa" w:w="3024"/>
            <w:vAlign w:val="center"/>
          </w:tcPr>
          <w:p>
            <w:pPr>
              <w:spacing w:after="20"/>
            </w:pPr>
            <w:r>
              <w:rPr>
                <w:b/>
                <w:sz w:val="20"/>
                <w:szCs w:val="20"/>
              </w:rPr>
              <w:t>Build adapter only</w:t>
            </w:r>
          </w:p>
        </w:tc>
        <w:tc>
          <w:tcPr>
            <w:tcW w:type="dxa" w:w="3024"/>
            <w:vAlign w:val="center"/>
          </w:tcPr>
          <w:p>
            <w:pPr>
              <w:spacing w:after="20"/>
            </w:pPr>
            <w:r>
              <w:rPr>
                <w:sz w:val="20"/>
                <w:szCs w:val="20"/>
              </w:rPr>
              <w:t>Normalized request/result and evidence</w:t>
            </w:r>
          </w:p>
        </w:tc>
        <w:tc>
          <w:tcPr>
            <w:tcW w:type="dxa" w:w="3024"/>
            <w:vAlign w:val="center"/>
          </w:tcPr>
          <w:p>
            <w:pPr>
              <w:spacing w:after="20"/>
            </w:pPr>
            <w:r>
              <w:rPr>
                <w:sz w:val="20"/>
                <w:szCs w:val="20"/>
              </w:rPr>
              <w:t>Site storage/filesystem controls</w:t>
            </w:r>
          </w:p>
        </w:tc>
        <w:tc>
          <w:tcPr>
            <w:tcW w:type="dxa" w:w="3024"/>
            <w:vAlign w:val="center"/>
          </w:tcPr>
          <w:p>
            <w:pPr>
              <w:spacing w:after="20"/>
            </w:pPr>
            <w:r>
              <w:rPr>
                <w:sz w:val="20"/>
                <w:szCs w:val="20"/>
              </w:rPr>
              <w:t>Possible pre/post operation policy hook</w:t>
            </w:r>
          </w:p>
        </w:tc>
      </w:tr>
      <w:tr>
        <w:tc>
          <w:tcPr>
            <w:tcW w:type="dxa" w:w="3024"/>
            <w:vAlign w:val="center"/>
          </w:tcPr>
          <w:p>
            <w:pPr>
              <w:spacing w:after="20"/>
            </w:pPr>
            <w:r>
              <w:rPr>
                <w:sz w:val="20"/>
                <w:szCs w:val="20"/>
              </w:rPr>
              <w:t>Scheduler operations</w:t>
            </w:r>
          </w:p>
        </w:tc>
        <w:tc>
          <w:tcPr>
            <w:tcW w:type="dxa" w:w="3024"/>
            <w:vAlign w:val="center"/>
          </w:tcPr>
          <w:p>
            <w:pPr>
              <w:spacing w:after="20"/>
            </w:pPr>
            <w:r>
              <w:rPr>
                <w:b/>
                <w:sz w:val="20"/>
                <w:szCs w:val="20"/>
              </w:rPr>
              <w:t>Build CAF facade</w:t>
            </w:r>
          </w:p>
        </w:tc>
        <w:tc>
          <w:tcPr>
            <w:tcW w:type="dxa" w:w="3024"/>
            <w:vAlign w:val="center"/>
          </w:tcPr>
          <w:p>
            <w:pPr>
              <w:spacing w:after="20"/>
            </w:pPr>
            <w:r>
              <w:rPr>
                <w:sz w:val="20"/>
                <w:szCs w:val="20"/>
              </w:rPr>
              <w:t>Submit/status/cancel/result vocabulary; idempotency; run/job linkage</w:t>
            </w:r>
          </w:p>
        </w:tc>
        <w:tc>
          <w:tcPr>
            <w:tcW w:type="dxa" w:w="3024"/>
            <w:vAlign w:val="center"/>
          </w:tcPr>
          <w:p>
            <w:pPr>
              <w:spacing w:after="20"/>
            </w:pPr>
            <w:r>
              <w:rPr>
                <w:sz w:val="20"/>
                <w:szCs w:val="20"/>
              </w:rPr>
              <w:t>Slurm or other scheduler</w:t>
            </w:r>
          </w:p>
        </w:tc>
        <w:tc>
          <w:tcPr>
            <w:tcW w:type="dxa" w:w="3024"/>
            <w:vAlign w:val="center"/>
          </w:tcPr>
          <w:p>
            <w:pPr>
              <w:spacing w:after="20"/>
            </w:pPr>
            <w:r>
              <w:rPr>
                <w:sz w:val="20"/>
                <w:szCs w:val="20"/>
              </w:rPr>
              <w:t>Possible pre-action policy; host scheduler remains authoritative</w:t>
            </w:r>
          </w:p>
        </w:tc>
      </w:tr>
      <w:tr>
        <w:tc>
          <w:tcPr>
            <w:tcW w:type="dxa" w:w="3024"/>
            <w:vAlign w:val="center"/>
          </w:tcPr>
          <w:p>
            <w:pPr>
              <w:spacing w:after="20"/>
            </w:pPr>
            <w:r>
              <w:rPr>
                <w:sz w:val="20"/>
                <w:szCs w:val="20"/>
              </w:rPr>
              <w:t>MCP/tool transport</w:t>
            </w:r>
          </w:p>
        </w:tc>
        <w:tc>
          <w:tcPr>
            <w:tcW w:type="dxa" w:w="3024"/>
            <w:vAlign w:val="center"/>
          </w:tcPr>
          <w:p>
            <w:pPr>
              <w:spacing w:after="20"/>
            </w:pPr>
            <w:r>
              <w:rPr>
                <w:b/>
                <w:sz w:val="20"/>
                <w:szCs w:val="20"/>
              </w:rPr>
              <w:t>Adopt optionally behind CAF semantics</w:t>
            </w:r>
          </w:p>
        </w:tc>
        <w:tc>
          <w:tcPr>
            <w:tcW w:type="dxa" w:w="3024"/>
            <w:vAlign w:val="center"/>
          </w:tcPr>
          <w:p>
            <w:pPr>
              <w:spacing w:after="20"/>
            </w:pPr>
            <w:r>
              <w:rPr>
                <w:sz w:val="20"/>
                <w:szCs w:val="20"/>
              </w:rPr>
              <w:t>CAF identity, decision, outcome, scheduler linkage, evidence obligations</w:t>
            </w:r>
          </w:p>
        </w:tc>
        <w:tc>
          <w:tcPr>
            <w:tcW w:type="dxa" w:w="3024"/>
            <w:vAlign w:val="center"/>
          </w:tcPr>
          <w:p>
            <w:pPr>
              <w:spacing w:after="20"/>
            </w:pPr>
            <w:r>
              <w:rPr>
                <w:sz w:val="20"/>
                <w:szCs w:val="20"/>
              </w:rPr>
              <w:t>MCP or runtime-native tools</w:t>
            </w:r>
          </w:p>
        </w:tc>
        <w:tc>
          <w:tcPr>
            <w:tcW w:type="dxa" w:w="3024"/>
            <w:vAlign w:val="center"/>
          </w:tcPr>
          <w:p>
            <w:pPr>
              <w:spacing w:after="20"/>
            </w:pPr>
            <w:r>
              <w:rPr>
                <w:sz w:val="20"/>
                <w:szCs w:val="20"/>
              </w:rPr>
              <w:t>AGT MCP modules are candidates; MCP must not become the CAF contract</w:t>
            </w:r>
          </w:p>
        </w:tc>
      </w:tr>
      <w:tr>
        <w:tc>
          <w:tcPr>
            <w:tcW w:type="dxa" w:w="3024"/>
            <w:vAlign w:val="center"/>
          </w:tcPr>
          <w:p>
            <w:pPr>
              <w:spacing w:after="20"/>
            </w:pPr>
            <w:r>
              <w:rPr>
                <w:sz w:val="20"/>
                <w:szCs w:val="20"/>
              </w:rPr>
              <w:t>Inference routing</w:t>
            </w:r>
          </w:p>
        </w:tc>
        <w:tc>
          <w:tcPr>
            <w:tcW w:type="dxa" w:w="3024"/>
            <w:vAlign w:val="center"/>
          </w:tcPr>
          <w:p>
            <w:pPr>
              <w:spacing w:after="20"/>
            </w:pPr>
            <w:r>
              <w:rPr>
                <w:b/>
                <w:sz w:val="20"/>
                <w:szCs w:val="20"/>
              </w:rPr>
              <w:t>Build adapter only</w:t>
            </w:r>
          </w:p>
        </w:tc>
        <w:tc>
          <w:tcPr>
            <w:tcW w:type="dxa" w:w="3024"/>
            <w:vAlign w:val="center"/>
          </w:tcPr>
          <w:p>
            <w:pPr>
              <w:spacing w:after="20"/>
            </w:pPr>
            <w:r>
              <w:rPr>
                <w:sz w:val="20"/>
                <w:szCs w:val="20"/>
              </w:rPr>
              <w:t>Correlation and permitted metadata</w:t>
            </w:r>
          </w:p>
        </w:tc>
        <w:tc>
          <w:tcPr>
            <w:tcW w:type="dxa" w:w="3024"/>
            <w:vAlign w:val="center"/>
          </w:tcPr>
          <w:p>
            <w:pPr>
              <w:spacing w:after="20"/>
            </w:pPr>
            <w:r>
              <w:rPr>
                <w:sz w:val="20"/>
                <w:szCs w:val="20"/>
              </w:rPr>
              <w:t>Site inference gateway/model service</w:t>
            </w:r>
          </w:p>
        </w:tc>
        <w:tc>
          <w:tcPr>
            <w:tcW w:type="dxa" w:w="3024"/>
            <w:vAlign w:val="center"/>
          </w:tcPr>
          <w:p>
            <w:pPr>
              <w:spacing w:after="20"/>
            </w:pPr>
            <w:r>
              <w:rPr>
                <w:sz w:val="20"/>
                <w:szCs w:val="20"/>
              </w:rPr>
              <w:t>Optional pre/post model hooks</w:t>
            </w:r>
          </w:p>
        </w:tc>
      </w:tr>
      <w:tr>
        <w:tc>
          <w:tcPr>
            <w:tcW w:type="dxa" w:w="3024"/>
            <w:vAlign w:val="center"/>
          </w:tcPr>
          <w:p>
            <w:pPr>
              <w:spacing w:after="20"/>
            </w:pPr>
            <w:r>
              <w:rPr>
                <w:sz w:val="20"/>
                <w:szCs w:val="20"/>
              </w:rPr>
              <w:t>Application evidence</w:t>
            </w:r>
          </w:p>
        </w:tc>
        <w:tc>
          <w:tcPr>
            <w:tcW w:type="dxa" w:w="3024"/>
            <w:vAlign w:val="center"/>
          </w:tcPr>
          <w:p>
            <w:pPr>
              <w:spacing w:after="20"/>
            </w:pPr>
            <w:r>
              <w:rPr>
                <w:b/>
                <w:sz w:val="20"/>
                <w:szCs w:val="20"/>
              </w:rPr>
              <w:t>Build schema/emission</w:t>
            </w:r>
          </w:p>
        </w:tc>
        <w:tc>
          <w:tcPr>
            <w:tcW w:type="dxa" w:w="3024"/>
            <w:vAlign w:val="center"/>
          </w:tcPr>
          <w:p>
            <w:pPr>
              <w:spacing w:after="20"/>
            </w:pPr>
            <w:r>
              <w:rPr>
                <w:sz w:val="20"/>
                <w:szCs w:val="20"/>
              </w:rPr>
              <w:t>CAF semantics, causality, scheduler linkage, redaction class</w:t>
            </w:r>
          </w:p>
        </w:tc>
        <w:tc>
          <w:tcPr>
            <w:tcW w:type="dxa" w:w="3024"/>
            <w:vAlign w:val="center"/>
          </w:tcPr>
          <w:p>
            <w:pPr>
              <w:spacing w:after="20"/>
            </w:pPr>
            <w:r>
              <w:rPr>
                <w:sz w:val="20"/>
                <w:szCs w:val="20"/>
              </w:rPr>
              <w:t>OTel/exporters/SIEM/storage</w:t>
            </w:r>
          </w:p>
        </w:tc>
        <w:tc>
          <w:tcPr>
            <w:tcW w:type="dxa" w:w="3024"/>
            <w:vAlign w:val="center"/>
          </w:tcPr>
          <w:p>
            <w:pPr>
              <w:spacing w:after="20"/>
            </w:pPr>
            <w:r>
              <w:rPr>
                <w:sz w:val="20"/>
                <w:szCs w:val="20"/>
              </w:rPr>
              <w:t>Reuse patterns or exporters only after schema mapping</w:t>
            </w:r>
          </w:p>
        </w:tc>
      </w:tr>
      <w:tr>
        <w:tc>
          <w:tcPr>
            <w:tcW w:type="dxa" w:w="3024"/>
            <w:vAlign w:val="center"/>
          </w:tcPr>
          <w:p>
            <w:pPr>
              <w:spacing w:after="20"/>
            </w:pPr>
            <w:r>
              <w:rPr>
                <w:sz w:val="20"/>
                <w:szCs w:val="20"/>
              </w:rPr>
              <w:t>Isolation and resource control</w:t>
            </w:r>
          </w:p>
        </w:tc>
        <w:tc>
          <w:tcPr>
            <w:tcW w:type="dxa" w:w="3024"/>
            <w:vAlign w:val="center"/>
          </w:tcPr>
          <w:p>
            <w:pPr>
              <w:spacing w:after="20"/>
            </w:pPr>
            <w:r>
              <w:rPr>
                <w:b/>
                <w:sz w:val="20"/>
                <w:szCs w:val="20"/>
              </w:rPr>
              <w:t>Do not build</w:t>
            </w:r>
          </w:p>
        </w:tc>
        <w:tc>
          <w:tcPr>
            <w:tcW w:type="dxa" w:w="3024"/>
            <w:vAlign w:val="center"/>
          </w:tcPr>
          <w:p>
            <w:pPr>
              <w:spacing w:after="20"/>
            </w:pPr>
            <w:r>
              <w:rPr>
                <w:sz w:val="20"/>
                <w:szCs w:val="20"/>
              </w:rPr>
              <w:t>References to host decisions</w:t>
            </w:r>
          </w:p>
        </w:tc>
        <w:tc>
          <w:tcPr>
            <w:tcW w:type="dxa" w:w="3024"/>
            <w:vAlign w:val="center"/>
          </w:tcPr>
          <w:p>
            <w:pPr>
              <w:spacing w:after="20"/>
            </w:pPr>
            <w:r>
              <w:rPr>
                <w:sz w:val="20"/>
                <w:szCs w:val="20"/>
              </w:rPr>
              <w:t>OCI runtime, Apptainer, Kubernetes, gVisor/Kata, site controls</w:t>
            </w:r>
          </w:p>
        </w:tc>
        <w:tc>
          <w:tcPr>
            <w:tcW w:type="dxa" w:w="3024"/>
            <w:vAlign w:val="center"/>
          </w:tcPr>
          <w:p>
            <w:pPr>
              <w:spacing w:after="20"/>
            </w:pPr>
            <w:r>
              <w:rPr>
                <w:sz w:val="20"/>
                <w:szCs w:val="20"/>
              </w:rPr>
              <w:t>Defense-in-depth only; never the hard boundary</w:t>
            </w:r>
          </w:p>
        </w:tc>
      </w:tr>
      <w:tr>
        <w:tc>
          <w:tcPr>
            <w:tcW w:type="dxa" w:w="3024"/>
            <w:vAlign w:val="center"/>
          </w:tcPr>
          <w:p>
            <w:pPr>
              <w:spacing w:after="20"/>
            </w:pPr>
            <w:r>
              <w:rPr>
                <w:sz w:val="20"/>
                <w:szCs w:val="20"/>
              </w:rPr>
              <w:t>Retention/GRC/IR</w:t>
            </w:r>
          </w:p>
        </w:tc>
        <w:tc>
          <w:tcPr>
            <w:tcW w:type="dxa" w:w="3024"/>
            <w:vAlign w:val="center"/>
          </w:tcPr>
          <w:p>
            <w:pPr>
              <w:spacing w:after="20"/>
            </w:pPr>
            <w:r>
              <w:rPr>
                <w:b/>
                <w:sz w:val="20"/>
                <w:szCs w:val="20"/>
              </w:rPr>
              <w:t>Do not build</w:t>
            </w:r>
          </w:p>
        </w:tc>
        <w:tc>
          <w:tcPr>
            <w:tcW w:type="dxa" w:w="3024"/>
            <w:vAlign w:val="center"/>
          </w:tcPr>
          <w:p>
            <w:pPr>
              <w:spacing w:after="20"/>
            </w:pPr>
            <w:r>
              <w:rPr>
                <w:sz w:val="20"/>
                <w:szCs w:val="20"/>
              </w:rPr>
              <w:t>Exportable evidence references</w:t>
            </w:r>
          </w:p>
        </w:tc>
        <w:tc>
          <w:tcPr>
            <w:tcW w:type="dxa" w:w="3024"/>
            <w:vAlign w:val="center"/>
          </w:tcPr>
          <w:p>
            <w:pPr>
              <w:spacing w:after="20"/>
            </w:pPr>
            <w:r>
              <w:rPr>
                <w:sz w:val="20"/>
                <w:szCs w:val="20"/>
              </w:rPr>
              <w:t>SIEM, GRC, SOAR, retention systems</w:t>
            </w:r>
          </w:p>
        </w:tc>
        <w:tc>
          <w:tcPr>
            <w:tcW w:type="dxa" w:w="3024"/>
            <w:vAlign w:val="center"/>
          </w:tcPr>
          <w:p>
            <w:pPr>
              <w:spacing w:after="20"/>
            </w:pPr>
            <w:r>
              <w:rPr>
                <w:sz w:val="20"/>
                <w:szCs w:val="20"/>
              </w:rPr>
              <w:t>Compliance mappings may help but are not authoritative</w:t>
            </w:r>
          </w:p>
        </w:tc>
      </w:tr>
      <w:tr>
        <w:tc>
          <w:tcPr>
            <w:tcW w:type="dxa" w:w="3024"/>
            <w:vAlign w:val="center"/>
          </w:tcPr>
          <w:p>
            <w:pPr>
              <w:spacing w:after="20"/>
            </w:pPr>
            <w:r>
              <w:rPr>
                <w:sz w:val="20"/>
                <w:szCs w:val="20"/>
              </w:rPr>
              <w:t>Developer experience</w:t>
            </w:r>
          </w:p>
        </w:tc>
        <w:tc>
          <w:tcPr>
            <w:tcW w:type="dxa" w:w="3024"/>
            <w:vAlign w:val="center"/>
          </w:tcPr>
          <w:p>
            <w:pPr>
              <w:spacing w:after="20"/>
            </w:pPr>
            <w:r>
              <w:rPr>
                <w:b/>
                <w:sz w:val="20"/>
                <w:szCs w:val="20"/>
              </w:rPr>
              <w:t>Build thinly</w:t>
            </w:r>
          </w:p>
        </w:tc>
        <w:tc>
          <w:tcPr>
            <w:tcW w:type="dxa" w:w="3024"/>
            <w:vAlign w:val="center"/>
          </w:tcPr>
          <w:p>
            <w:pPr>
              <w:spacing w:after="20"/>
            </w:pPr>
            <w:r>
              <w:rPr>
                <w:sz w:val="20"/>
                <w:szCs w:val="20"/>
              </w:rPr>
              <w:t>Validate, launch, inspect capabilities, explain failures</w:t>
            </w:r>
          </w:p>
        </w:tc>
        <w:tc>
          <w:tcPr>
            <w:tcW w:type="dxa" w:w="3024"/>
            <w:vAlign w:val="center"/>
          </w:tcPr>
          <w:p>
            <w:pPr>
              <w:spacing w:after="20"/>
            </w:pPr>
            <w:r>
              <w:rPr>
                <w:sz w:val="20"/>
                <w:szCs w:val="20"/>
              </w:rPr>
              <w:t>Existing portals, shell, notebooks, CI</w:t>
            </w:r>
          </w:p>
        </w:tc>
        <w:tc>
          <w:tcPr>
            <w:tcW w:type="dxa" w:w="3024"/>
            <w:vAlign w:val="center"/>
          </w:tcPr>
          <w:p>
            <w:pPr>
              <w:spacing w:after="20"/>
            </w:pPr>
            <w:r>
              <w:rPr>
                <w:sz w:val="20"/>
                <w:szCs w:val="20"/>
              </w:rPr>
              <w:t>Avoid importing AGT dashboard/control-plane scope by default</w:t>
            </w:r>
          </w:p>
        </w:tc>
      </w:tr>
    </w:tbl>
    <w:p/>
    <w:p>
      <w:pPr>
        <w:pStyle w:val="Heading3"/>
      </w:pPr>
      <w:r>
        <w:t>7.3 What CAF should uniquely build</w:t>
      </w:r>
    </w:p>
    <w:p>
      <w:r>
        <w:t>CAF’s differentiated intellectual property should be limited to:</w:t>
      </w:r>
    </w:p>
    <w:p>
      <w:pPr>
        <w:pStyle w:val="ListNumber"/>
      </w:pPr>
      <w:r>
        <w:t>A runtime-neutral managed-operation envelope whose MVP core contains run/call identity, requested operation, host decision reference, normalized outcome, and external workload references; actor, delegation, approval, and attestation data remain optional opaque host references until proven necessary.</w:t>
      </w:r>
    </w:p>
    <w:p>
      <w:pPr>
        <w:pStyle w:val="ListNumber"/>
      </w:pPr>
      <w:r>
        <w:t>A minimal runtime adapter SPI for replacing selected tool and inference paths without owning the reasoning loop.</w:t>
      </w:r>
    </w:p>
    <w:p>
      <w:pPr>
        <w:pStyle w:val="ListNumber"/>
      </w:pPr>
      <w:r>
        <w:t>A runtime admission and conformance kit that proves interception coverage, effective tool surface, fail behavior, evidence emission, and known bypasses.</w:t>
      </w:r>
    </w:p>
    <w:p>
      <w:pPr>
        <w:pStyle w:val="ListNumber"/>
      </w:pPr>
      <w:r>
        <w:t>HPC-specific provider facades for workspace, inference, scheduler, and launch/profile resolution.</w:t>
      </w:r>
    </w:p>
    <w:p>
      <w:pPr>
        <w:pStyle w:val="ListNumber"/>
      </w:pPr>
      <w:r>
        <w:t>Application-level evidence semantics that link agent operations to scheduler jobs and returned outputs without collecting host telemetry.</w:t>
      </w:r>
    </w:p>
    <w:p>
      <w:r>
        <w:t>CAF should not build a new policy language, identity provider, secrets vault, scheduler, inference server, telemetry backend, GRC suite, workflow engine, or sandbox.</w:t>
      </w:r>
    </w:p>
    <w:p>
      <w:pPr>
        <w:pStyle w:val="Heading3"/>
      </w:pPr>
      <w:r>
        <w:t>7.4 AGT evaluation decision</w:t>
      </w:r>
    </w:p>
    <w:p>
      <w:r>
        <w:t>CAF should neither adopt nor reject AGT based on repository breadth. It should run a narrow comparison against a minimal OPA/Cedar provider behind the same CAF-owned interface. The proof should determine whether AGT reduces implementation and maintenance cost without weakening CAF's portability or host authority.</w:t>
      </w:r>
    </w:p>
    <w:p>
      <w:pPr>
        <w:pStyle w:val="Heading3"/>
      </w:pPr>
      <w:r>
        <w:t>Pilot scope</w:t>
      </w:r>
    </w:p>
    <w:p>
      <w:r>
        <w:t>Use one pinned AGT/ACS version behind a CAF policy-provider interface for the Pi MVP. Test only:</w:t>
      </w:r>
    </w:p>
    <w:p>
      <w:pPr>
        <w:pStyle w:val="ListBullet"/>
      </w:pPr>
      <w:r>
        <w:rPr>
          <w:rFonts w:ascii="Consolas" w:hAnsi="Consolas"/>
          <w:sz w:val="20"/>
        </w:rPr>
        <w:t>pre_tool_call</w:t>
      </w:r>
      <w:r>
        <w:t xml:space="preserve"> as the execution gate and </w:t>
      </w:r>
      <w:r>
        <w:rPr>
          <w:rFonts w:ascii="Consolas" w:hAnsi="Consolas"/>
          <w:sz w:val="20"/>
        </w:rPr>
        <w:t>post_tool_call</w:t>
      </w:r>
      <w:r>
        <w:t xml:space="preserve"> as outcome capture/returned-data filtering for </w:t>
      </w:r>
      <w:r>
        <w:rPr>
          <w:rFonts w:ascii="Consolas" w:hAnsi="Consolas"/>
          <w:sz w:val="20"/>
        </w:rPr>
        <w:t>read</w:t>
      </w:r>
      <w:r>
        <w:t xml:space="preserve">, </w:t>
      </w:r>
      <w:r>
        <w:rPr>
          <w:rFonts w:ascii="Consolas" w:hAnsi="Consolas"/>
          <w:sz w:val="20"/>
        </w:rPr>
        <w:t>write</w:t>
      </w:r>
      <w:r>
        <w:t xml:space="preserve">, </w:t>
      </w:r>
      <w:r>
        <w:rPr>
          <w:rFonts w:ascii="Consolas" w:hAnsi="Consolas"/>
          <w:sz w:val="20"/>
        </w:rPr>
        <w:t>edit</w:t>
      </w:r>
      <w:r>
        <w:t xml:space="preserve">, and </w:t>
      </w:r>
      <w:r>
        <w:rPr>
          <w:rFonts w:ascii="Consolas" w:hAnsi="Consolas"/>
          <w:sz w:val="20"/>
        </w:rPr>
        <w:t>bash</w:t>
      </w:r>
      <w:r>
        <w:t>;</w:t>
      </w:r>
    </w:p>
    <w:p>
      <w:pPr>
        <w:pStyle w:val="ListBullet"/>
      </w:pPr>
      <w:r>
        <w:t>selected inference pre/post metadata hooks if Pi exposes a reliable seam;</w:t>
      </w:r>
    </w:p>
    <w:p>
      <w:pPr>
        <w:pStyle w:val="ListBullet"/>
      </w:pPr>
      <w:r>
        <w:t>strict default-deny startup behavior;</w:t>
      </w:r>
    </w:p>
    <w:p>
      <w:pPr>
        <w:pStyle w:val="ListBullet"/>
      </w:pPr>
      <w:r>
        <w:t>allow, deny, and transform outcomes; plus liftable denials carrying approval metadata and host-side approval resolution;</w:t>
      </w:r>
    </w:p>
    <w:p>
      <w:pPr>
        <w:pStyle w:val="ListBullet"/>
      </w:pPr>
      <w:r>
        <w:t>export of policy decision references into the CAF evidence envelope;</w:t>
      </w:r>
    </w:p>
    <w:p>
      <w:pPr>
        <w:pStyle w:val="ListBullet"/>
      </w:pPr>
      <w:r>
        <w:t>offline operation with no Azure dependency;</w:t>
      </w:r>
    </w:p>
    <w:p>
      <w:pPr>
        <w:pStyle w:val="ListBullet"/>
      </w:pPr>
      <w:r>
        <w:t>bounded overhead at expected HPC tool-call rates.</w:t>
      </w:r>
    </w:p>
    <w:p>
      <w:pPr>
        <w:pStyle w:val="Heading3"/>
      </w:pPr>
      <w:r>
        <w:t>Acceptance criteria</w:t>
      </w:r>
    </w:p>
    <w:p>
      <w:r>
        <w:t>AGT is a good CAF dependency only if:</w:t>
      </w:r>
    </w:p>
    <w:p>
      <w:pPr>
        <w:pStyle w:val="ListNumber"/>
      </w:pPr>
      <w:r>
        <w:t>Every selected Pi action path reaches the policy hook before side effects.</w:t>
      </w:r>
    </w:p>
    <w:p>
      <w:pPr>
        <w:pStyle w:val="ListNumber"/>
      </w:pPr>
      <w:r>
        <w:t>Direct or alternate paths are either blocked by the host or documented and tested as CAF gaps.</w:t>
      </w:r>
    </w:p>
    <w:p>
      <w:pPr>
        <w:pStyle w:val="ListNumber"/>
      </w:pPr>
      <w:r>
        <w:t>CAF owns the public operation/evidence schema; AGT-specific fields stay in a namespaced extension.</w:t>
      </w:r>
    </w:p>
    <w:p>
      <w:pPr>
        <w:pStyle w:val="ListNumber"/>
      </w:pPr>
      <w:r>
        <w:t>Policy absence, load failure, timeout, and malformed decisions fail according to CAF’s contract.</w:t>
      </w:r>
    </w:p>
    <w:p>
      <w:pPr>
        <w:pStyle w:val="ListNumber"/>
      </w:pPr>
      <w:r>
        <w:t>AGT can use host identity and policy context without becoming the authoritative identity store.</w:t>
      </w:r>
    </w:p>
    <w:p>
      <w:pPr>
        <w:pStyle w:val="ListNumber"/>
      </w:pPr>
      <w:r>
        <w:t>Decision events export to host-controlled storage with CAF run/call correlation.</w:t>
      </w:r>
    </w:p>
    <w:p>
      <w:pPr>
        <w:pStyle w:val="ListNumber"/>
      </w:pPr>
      <w:r>
        <w:t>A fixed version can be supported without following main-branch churn.</w:t>
      </w:r>
    </w:p>
    <w:p>
      <w:pPr>
        <w:pStyle w:val="ListNumber"/>
      </w:pPr>
      <w:r>
        <w:t>Removing AGT or replacing it with OPA/Cedar directly does not require changing the runtime-facing CAF contract.</w:t>
      </w:r>
    </w:p>
    <w:p>
      <w:pPr>
        <w:pStyle w:val="Heading3"/>
      </w:pPr>
      <w:r>
        <w:t>Reject or defer AGT if</w:t>
      </w:r>
    </w:p>
    <w:p>
      <w:pPr>
        <w:pStyle w:val="ListBullet"/>
      </w:pPr>
      <w:r>
        <w:t>Pi interception requires a fork or invasive coupling;</w:t>
      </w:r>
    </w:p>
    <w:p>
      <w:pPr>
        <w:pStyle w:val="ListBullet"/>
      </w:pPr>
      <w:r>
        <w:t>the sidecar remains bypassable under the accepted host profile;</w:t>
      </w:r>
    </w:p>
    <w:p>
      <w:pPr>
        <w:pStyle w:val="ListBullet"/>
      </w:pPr>
      <w:r>
        <w:t>cross-language/runtime semantics cannot be normalized;</w:t>
      </w:r>
    </w:p>
    <w:p>
      <w:pPr>
        <w:pStyle w:val="ListBullet"/>
      </w:pPr>
      <w:r>
        <w:t>the dependency materially expands the image, attack surface, or operational control plane without reducing CAF code;</w:t>
      </w:r>
    </w:p>
    <w:p>
      <w:pPr>
        <w:pStyle w:val="ListBullet"/>
      </w:pPr>
      <w:r>
        <w:t>AGT’s event and identity schemas begin to replace CAF’s product contract;</w:t>
      </w:r>
    </w:p>
    <w:p>
      <w:pPr>
        <w:pStyle w:val="ListBullet"/>
      </w:pPr>
      <w:r>
        <w:t>the product team would need to maintain broad AGT modules unrelated to the MVP.</w:t>
      </w:r>
    </w:p>
    <w:p>
      <w:pPr>
        <w:pStyle w:val="Heading2"/>
      </w:pPr>
      <w:r>
        <w:t>8. Strategic recommendation</w:t>
      </w:r>
    </w:p>
    <w:p>
      <w:pPr>
        <w:pStyle w:val="Heading3"/>
      </w:pPr>
      <w:r>
        <w:t>8.1 Near-term</w:t>
      </w:r>
    </w:p>
    <w:p>
      <w:r>
        <w:t>Proceed with CAF’s current thin architecture. Freeze four versioned seams: runtime SPI, host provider interfaces, evidence export, and admission/conformance. Keep Pi pinned and unforked. Implement or complete the smallest end-to-end managed path before adding governance breadth.</w:t>
      </w:r>
    </w:p>
    <w:p>
      <w:r>
        <w:t>Run a time-bounded AGT/ACS spike in parallel with a simpler OPA/Cedar provider baseline. Compare code size, interception coverage, failure semantics, performance, maintenance burden, and evidence integration. The decision is not “AGT versus CAF.” It is whether AGT reduces the implementation cost of one replaceable CAF policy/interception layer.</w:t>
      </w:r>
    </w:p>
    <w:p>
      <w:pPr>
        <w:pStyle w:val="Heading3"/>
      </w:pPr>
      <w:r>
        <w:t>8.2 Next architectural proof</w:t>
      </w:r>
    </w:p>
    <w:p>
      <w:r>
        <w:t>After the Pi MVP, admit a materially different second runtime. This is more important than expanding Pi features because it tests whether CAF’s contract is truly runtime-neutral. Then validate a second host profile or scheduler integration. The same CAF core, provider interfaces, and evidence consumers should survive both tests.</w:t>
      </w:r>
    </w:p>
    <w:p>
      <w:pPr>
        <w:pStyle w:val="Heading3"/>
      </w:pPr>
      <w:r>
        <w:t>8.3 Longer-term position</w:t>
      </w:r>
    </w:p>
    <w:p>
      <w:r>
        <w:t>CAF should position itself as the managed-HPC integration layer that can consume governance services rather than compete with them. This preserves customer choice and allows sites to use Microsoft AGT, OPA, Cedar, Entra, SPIFFE, existing HPE services, or customer-native equivalents.</w:t>
      </w:r>
    </w:p>
    <w:p>
      <w:r>
        <w:t>A defensible ecosystem message is:</w:t>
      </w:r>
    </w:p>
    <w:p>
      <w:pPr>
        <w:pStyle w:val="ListBullet"/>
      </w:pPr>
      <w:r>
        <w:t>CAF makes selected agent operations identifiable and governable at the application boundary.</w:t>
      </w:r>
    </w:p>
    <w:p>
      <w:pPr>
        <w:pStyle w:val="ListBullet"/>
      </w:pPr>
      <w:r>
        <w:t>The host remains authoritative for identity, resource access, isolation, scheduling, telemetry, retention, and response.</w:t>
      </w:r>
    </w:p>
    <w:p>
      <w:pPr>
        <w:pStyle w:val="ListBullet"/>
      </w:pPr>
      <w:r>
        <w:t>Governance engines and services are replaceable providers behind published CAF contracts.</w:t>
      </w:r>
    </w:p>
    <w:p>
      <w:pPr>
        <w:pStyle w:val="ListBullet"/>
      </w:pPr>
      <w:r>
        <w:t>CAF adds the HPC-specific runtime, scheduler, and evidence semantics that generic agent-governance products do not provide.</w:t>
      </w:r>
    </w:p>
    <w:p>
      <w:pPr>
        <w:pStyle w:val="Heading2"/>
      </w:pPr>
      <w:r>
        <w:t>9. Evaluation and procurement checklist</w:t>
      </w:r>
    </w:p>
    <w:p>
      <w:r>
        <w:t>Any agent-governance component considered for CAF or a host profile should answer:</w:t>
      </w:r>
    </w:p>
    <w:p>
      <w:pPr>
        <w:pStyle w:val="ListNumber"/>
      </w:pPr>
      <w:r>
        <w:t>What exact action boundary does it govern, and how is bypass prevented?</w:t>
      </w:r>
    </w:p>
    <w:p>
      <w:pPr>
        <w:pStyle w:val="ListNumber"/>
      </w:pPr>
      <w:r>
        <w:t>Does it preserve user → agent → sub-agent → tool delegation and causality?</w:t>
      </w:r>
    </w:p>
    <w:p>
      <w:pPr>
        <w:pStyle w:val="ListNumber"/>
      </w:pPr>
      <w:r>
        <w:t>Can it authorize the exact tool, resource, arguments, purpose, budget, and data class?</w:t>
      </w:r>
    </w:p>
    <w:p>
      <w:pPr>
        <w:pStyle w:val="ListNumber"/>
      </w:pPr>
      <w:r>
        <w:t>Are credentials short-lived, audience-bound, scope-limited, and outside model context?</w:t>
      </w:r>
    </w:p>
    <w:p>
      <w:pPr>
        <w:pStyle w:val="ListNumber"/>
      </w:pPr>
      <w:r>
        <w:t>What happens when policy, network, telemetry, or approval services fail?</w:t>
      </w:r>
    </w:p>
    <w:p>
      <w:pPr>
        <w:pStyle w:val="ListNumber"/>
      </w:pPr>
      <w:r>
        <w:t>Can high-risk actions require scoped, expiring, separation-of-duty approval?</w:t>
      </w:r>
    </w:p>
    <w:p>
      <w:pPr>
        <w:pStyle w:val="ListNumber"/>
      </w:pPr>
      <w:r>
        <w:t>Does it isolate the agent process, tool server, filesystem, network, and secrets—or only inspect traffic?</w:t>
      </w:r>
    </w:p>
    <w:p>
      <w:pPr>
        <w:pStyle w:val="ListNumber"/>
      </w:pPr>
      <w:r>
        <w:t>Are allowed and denied decisions exported with stable IDs and policy versions?</w:t>
      </w:r>
    </w:p>
    <w:p>
      <w:pPr>
        <w:pStyle w:val="ListNumber"/>
      </w:pPr>
      <w:r>
        <w:t>Can sensitive content be omitted while preserving forensic usefulness?</w:t>
      </w:r>
    </w:p>
    <w:p>
      <w:pPr>
        <w:pStyle w:val="ListNumber"/>
      </w:pPr>
      <w:r>
        <w:t>Do evaluations gate releases/actions or merely populate dashboards?</w:t>
      </w:r>
    </w:p>
    <w:p>
      <w:pPr>
        <w:pStyle w:val="ListNumber"/>
      </w:pPr>
      <w:r>
        <w:t>Are compliance claims mappings, operational evidence, independent attestations, or certifications?</w:t>
      </w:r>
    </w:p>
    <w:p>
      <w:pPr>
        <w:pStyle w:val="ListNumber"/>
      </w:pPr>
      <w:r>
        <w:t>Can responders revoke identity/credentials, stop work, quarantine components, preserve evidence, and recover?</w:t>
      </w:r>
    </w:p>
    <w:p>
      <w:pPr>
        <w:pStyle w:val="ListNumber"/>
      </w:pPr>
      <w:r>
        <w:t>Is the deployment viable offline or in a disconnected HPC environment?</w:t>
      </w:r>
    </w:p>
    <w:p>
      <w:pPr>
        <w:pStyle w:val="ListNumber"/>
      </w:pPr>
      <w:r>
        <w:t>What open-source and commercial features, licenses, SLAs, and upgrade obligations apply?</w:t>
      </w:r>
    </w:p>
    <w:p>
      <w:pPr>
        <w:pStyle w:val="ListNumber"/>
      </w:pPr>
      <w:r>
        <w:t>Can the component be removed without changing CAF’s public contracts?</w:t>
      </w:r>
    </w:p>
    <w:p>
      <w:pPr>
        <w:pStyle w:val="Heading2"/>
      </w:pPr>
      <w:r>
        <w:t>10. Risks and unresolved decisions</w:t>
      </w:r>
    </w:p>
    <w:p>
      <w:pPr>
        <w:pStyle w:val="ListBullet"/>
      </w:pPr>
      <w:r>
        <w:rPr>
          <w:b/>
        </w:rPr>
        <w:t>Mediation gap:</w:t>
      </w:r>
      <w:r>
        <w:t xml:space="preserve"> CAF and AGT govern only routed operations. Host controls must constrain direct shell, network, credential, and scheduler alternatives.</w:t>
      </w:r>
    </w:p>
    <w:p>
      <w:pPr>
        <w:pStyle w:val="ListBullet"/>
      </w:pPr>
      <w:r>
        <w:rPr>
          <w:b/>
        </w:rPr>
        <w:t>Policy split brain:</w:t>
      </w:r>
      <w:r>
        <w:t xml:space="preserve"> CAF must not maintain policy that conflicts with host authority. Host decisions and references are authoritative.</w:t>
      </w:r>
    </w:p>
    <w:p>
      <w:pPr>
        <w:pStyle w:val="ListBullet"/>
      </w:pPr>
      <w:r>
        <w:rPr>
          <w:b/>
        </w:rPr>
        <w:t>Evidence overclaim:</w:t>
      </w:r>
      <w:r>
        <w:t xml:space="preserve"> CAF records application-level requests and returned results, not every downstream effect of a shell command or scheduled job.</w:t>
      </w:r>
    </w:p>
    <w:p>
      <w:pPr>
        <w:pStyle w:val="ListBullet"/>
      </w:pPr>
      <w:r>
        <w:rPr>
          <w:b/>
        </w:rPr>
        <w:t>Schema capture:</w:t>
      </w:r>
      <w:r>
        <w:t xml:space="preserve"> AGT, MCP, Slurm, Pi, or a specific SIEM must not define CAF’s durable core schema.</w:t>
      </w:r>
    </w:p>
    <w:p>
      <w:pPr>
        <w:pStyle w:val="ListBullet"/>
      </w:pPr>
      <w:r>
        <w:rPr>
          <w:b/>
        </w:rPr>
        <w:t>Preview dependency:</w:t>
      </w:r>
      <w:r>
        <w:t xml:space="preserve"> AGT’s velocity is promising but increases pinning, conformance, support, and security-review costs.</w:t>
      </w:r>
    </w:p>
    <w:p>
      <w:pPr>
        <w:pStyle w:val="ListBullet"/>
      </w:pPr>
      <w:r>
        <w:rPr>
          <w:b/>
        </w:rPr>
        <w:t>Disconnected deployment:</w:t>
      </w:r>
      <w:r>
        <w:t xml:space="preserve"> Every external identity, policy, package, and telemetry dependency needs an explicit offline profile before it becomes an HPC product claim.</w:t>
      </w:r>
    </w:p>
    <w:p>
      <w:pPr>
        <w:pStyle w:val="ListBullet"/>
      </w:pPr>
      <w:r>
        <w:rPr>
          <w:b/>
        </w:rPr>
        <w:t>Human approval:</w:t>
      </w:r>
      <w:r>
        <w:t xml:space="preserve"> The MVP can defer a full workflow engine, but the request/decision model should leave room for approval-bound obligations.</w:t>
      </w:r>
    </w:p>
    <w:p>
      <w:pPr>
        <w:pStyle w:val="Heading2"/>
      </w:pPr>
      <w:r>
        <w:t>11. Final decision</w:t>
      </w:r>
    </w:p>
    <w:p>
      <w:r>
        <w:t xml:space="preserve">CAF should </w:t>
      </w:r>
      <w:r>
        <w:rPr>
          <w:b/>
        </w:rPr>
        <w:t>build</w:t>
      </w:r>
      <w:r>
        <w:t xml:space="preserve"> its small product-defining semantic layer and </w:t>
      </w:r>
      <w:r>
        <w:rPr>
          <w:b/>
        </w:rPr>
        <w:t>reuse</w:t>
      </w:r>
      <w:r>
        <w:t xml:space="preserve"> established infrastructure for every generic mechanism. Microsoft AGT should be treated as a high-potential optional implementation for runtime policy and governance primitives, tested behind CAF-owned interfaces. It should not become CAF’s architecture, identity authority, evidence contract, or hard security boundary.</w:t>
      </w:r>
    </w:p>
    <w:p>
      <w:r>
        <w:t>This approach avoids two bad extremes: rebuilding mature governance infrastructure inside CAF, or outsourcing CAF’s product identity to a fast-moving third-party toolkit. It preserves CAF’s thin, replaceable, developer-first design while giving it a credible path to consume stronger governance capabilities as the market and standards mature.</w:t>
      </w:r>
    </w:p>
    <w:p>
      <w:pPr>
        <w:pStyle w:val="Heading2"/>
      </w:pPr>
      <w:r>
        <w:t>Selected primary references</w:t>
      </w:r>
    </w:p>
    <w:p>
      <w:pPr>
        <w:pStyle w:val="ListBullet"/>
      </w:pPr>
      <w:r>
        <w:t xml:space="preserve">Microsoft Agent Governance Toolkit: </w:t>
      </w:r>
      <w:hyperlink r:id="rId9">
        <w:r>
          <w:rPr>
            <w:color w:val="0563C1"/>
            <w:u w:val="single"/>
          </w:rPr>
          <w:t>https://github.com/microsoft/agent-governance-toolkit</w:t>
        </w:r>
      </w:hyperlink>
    </w:p>
    <w:p>
      <w:pPr>
        <w:pStyle w:val="ListBullet"/>
      </w:pPr>
      <w:r>
        <w:t xml:space="preserve">Microsoft AGT architecture (reviewed commit): </w:t>
      </w:r>
      <w:hyperlink r:id="rId90">
        <w:r>
          <w:rPr>
            <w:color w:val="0563C1"/>
            <w:u w:val="single"/>
          </w:rPr>
          <w:t>https://github.com/microsoft/agent-governance-toolkit/blob/c63c51e881c442fbc060705f7e211f29993f2c1b/docs/ARCHITECTURE.md</w:t>
        </w:r>
      </w:hyperlink>
    </w:p>
    <w:p>
      <w:pPr>
        <w:pStyle w:val="ListBullet"/>
      </w:pPr>
      <w:r>
        <w:t xml:space="preserve">Microsoft AGT limitations (reviewed commit): </w:t>
      </w:r>
      <w:hyperlink r:id="rId93">
        <w:r>
          <w:rPr>
            <w:color w:val="0563C1"/>
            <w:u w:val="single"/>
          </w:rPr>
          <w:t>https://github.com/microsoft/agent-governance-toolkit/blob/c63c51e881c442fbc060705f7e211f29993f2c1b/docs/LIMITATIONS.md</w:t>
        </w:r>
      </w:hyperlink>
    </w:p>
    <w:p>
      <w:pPr>
        <w:pStyle w:val="ListBullet"/>
      </w:pPr>
      <w:r>
        <w:t xml:space="preserve">Microsoft AGT policy engine (reviewed commit): </w:t>
      </w:r>
      <w:hyperlink r:id="rId99">
        <w:r>
          <w:rPr>
            <w:color w:val="0563C1"/>
            <w:u w:val="single"/>
          </w:rPr>
          <w:t>https://github.com/microsoft/agent-governance-toolkit/tree/c63c51e881c442fbc060705f7e211f29993f2c1b/policy-engine</w:t>
        </w:r>
      </w:hyperlink>
    </w:p>
    <w:p>
      <w:pPr>
        <w:pStyle w:val="ListBullet"/>
      </w:pPr>
      <w:r>
        <w:t xml:space="preserve">AWS AgentCore: </w:t>
      </w:r>
      <w:hyperlink r:id="rId10">
        <w:r>
          <w:rPr>
            <w:color w:val="0563C1"/>
            <w:u w:val="single"/>
          </w:rPr>
          <w:t>https://aws.amazon.com/bedrock/agentcore/</w:t>
        </w:r>
      </w:hyperlink>
    </w:p>
    <w:p>
      <w:pPr>
        <w:pStyle w:val="ListBullet"/>
      </w:pPr>
      <w:r>
        <w:t xml:space="preserve">Google agent governance: </w:t>
      </w:r>
      <w:hyperlink r:id="rId11">
        <w:r>
          <w:rPr>
            <w:color w:val="0563C1"/>
            <w:u w:val="single"/>
          </w:rPr>
          <w:t>https://docs.cloud.google.com/gemini-enterprise-agent-platform/govern</w:t>
        </w:r>
      </w:hyperlink>
    </w:p>
    <w:p>
      <w:pPr>
        <w:pStyle w:val="ListBullet"/>
      </w:pPr>
      <w:r>
        <w:t xml:space="preserve">Microsoft Entra Agent ID: </w:t>
      </w:r>
      <w:hyperlink r:id="rId12">
        <w:r>
          <w:rPr>
            <w:color w:val="0563C1"/>
            <w:u w:val="single"/>
          </w:rPr>
          <w:t>https://learn.microsoft.com/en-us/entra/agent-id/what-is-microsoft-entra-agent-id</w:t>
        </w:r>
      </w:hyperlink>
    </w:p>
    <w:p>
      <w:pPr>
        <w:pStyle w:val="ListBullet"/>
      </w:pPr>
      <w:r>
        <w:t xml:space="preserve">Docker MCP Enterprise Gateway: </w:t>
      </w:r>
      <w:hyperlink r:id="rId21">
        <w:r>
          <w:rPr>
            <w:color w:val="0563C1"/>
            <w:u w:val="single"/>
          </w:rPr>
          <w:t>https://www.docker.com/products/mcp-enterprise-gateway/</w:t>
        </w:r>
      </w:hyperlink>
    </w:p>
    <w:p>
      <w:pPr>
        <w:pStyle w:val="ListBullet"/>
      </w:pPr>
      <w:r>
        <w:t xml:space="preserve">Stacklok ToolHive: </w:t>
      </w:r>
      <w:hyperlink r:id="rId22">
        <w:r>
          <w:rPr>
            <w:color w:val="0563C1"/>
            <w:u w:val="single"/>
          </w:rPr>
          <w:t>https://github.com/stacklok/toolhive</w:t>
        </w:r>
      </w:hyperlink>
    </w:p>
    <w:p>
      <w:pPr>
        <w:pStyle w:val="ListBullet"/>
      </w:pPr>
      <w:r>
        <w:t xml:space="preserve">Descope Agentic Identity Hub: </w:t>
      </w:r>
      <w:hyperlink r:id="rId20">
        <w:r>
          <w:rPr>
            <w:color w:val="0563C1"/>
            <w:u w:val="single"/>
          </w:rPr>
          <w:t>https://docs.descope.com/agentic-identity-hub</w:t>
        </w:r>
      </w:hyperlink>
    </w:p>
    <w:p>
      <w:pPr>
        <w:pStyle w:val="ListBullet"/>
      </w:pPr>
      <w:r>
        <w:t xml:space="preserve">Open Policy Agent: </w:t>
      </w:r>
      <w:hyperlink r:id="rId34">
        <w:r>
          <w:rPr>
            <w:color w:val="0563C1"/>
            <w:u w:val="single"/>
          </w:rPr>
          <w:t>https://www.openpolicyagent.org/docs/latest/</w:t>
        </w:r>
      </w:hyperlink>
    </w:p>
    <w:p>
      <w:pPr>
        <w:pStyle w:val="ListBullet"/>
      </w:pPr>
      <w:r>
        <w:t xml:space="preserve">SPIFFE/SPIRE: </w:t>
      </w:r>
      <w:hyperlink r:id="rId39">
        <w:r>
          <w:rPr>
            <w:color w:val="0563C1"/>
            <w:u w:val="single"/>
          </w:rPr>
          <w:t>https://spiffe.io/docs/latest/spiffe-about/overview/</w:t>
        </w:r>
      </w:hyperlink>
    </w:p>
    <w:p>
      <w:pPr>
        <w:pStyle w:val="ListBullet"/>
      </w:pPr>
      <w:r>
        <w:t xml:space="preserve">OpenTelemetry: </w:t>
      </w:r>
      <w:hyperlink r:id="rId100">
        <w:r>
          <w:rPr>
            <w:color w:val="0563C1"/>
            <w:u w:val="single"/>
          </w:rPr>
          <w:t>https://opentelemetry.io/docs/</w:t>
        </w:r>
      </w:hyperlink>
    </w:p>
    <w:p>
      <w:pPr>
        <w:pStyle w:val="ListBullet"/>
      </w:pPr>
      <w:r>
        <w:t xml:space="preserve">Model Context Protocol: </w:t>
      </w:r>
      <w:hyperlink r:id="rId82">
        <w:r>
          <w:rPr>
            <w:color w:val="0563C1"/>
            <w:u w:val="single"/>
          </w:rPr>
          <w:t>https://modelcontextprotocol.io/specification/latest/basic/authorization</w:t>
        </w:r>
      </w:hyperlink>
    </w:p>
    <w:p>
      <w:pPr>
        <w:pStyle w:val="ListBullet"/>
      </w:pPr>
      <w:r>
        <w:t xml:space="preserve">A2A specification: </w:t>
      </w:r>
      <w:hyperlink r:id="rId83">
        <w:r>
          <w:rPr>
            <w:color w:val="0563C1"/>
            <w:u w:val="single"/>
          </w:rPr>
          <w:t>https://a2a-protocol.org/latest/specification</w:t>
        </w:r>
      </w:hyperlink>
    </w:p>
    <w:p>
      <w:pPr>
        <w:pStyle w:val="ListBullet"/>
      </w:pPr>
      <w:r>
        <w:t xml:space="preserve">NIST AI RMF: </w:t>
      </w:r>
      <w:hyperlink r:id="rId73">
        <w:r>
          <w:rPr>
            <w:color w:val="0563C1"/>
            <w:u w:val="single"/>
          </w:rPr>
          <w:t>https://www.nist.gov/itl/ai-risk-management-framework</w:t>
        </w:r>
      </w:hyperlink>
    </w:p>
    <w:p>
      <w:pPr>
        <w:pStyle w:val="ListBullet"/>
      </w:pPr>
      <w:r>
        <w:t xml:space="preserve">ISO/IEC 42001: </w:t>
      </w:r>
      <w:hyperlink r:id="rId74">
        <w:r>
          <w:rPr>
            <w:color w:val="0563C1"/>
            <w:u w:val="single"/>
          </w:rPr>
          <w:t>https://www.iso.org/standard/42001</w:t>
        </w:r>
      </w:hyperlink>
    </w:p>
    <w:p>
      <w:pPr>
        <w:pStyle w:val="ListBullet"/>
      </w:pPr>
      <w:r>
        <w:t xml:space="preserve">EU AI Act overview: </w:t>
      </w:r>
      <w:hyperlink r:id="rId72">
        <w:r>
          <w:rPr>
            <w:color w:val="0563C1"/>
            <w:u w:val="single"/>
          </w:rPr>
          <w:t>https://digital-strategy.ec.europa.eu/en/policies/regulatory-framework-ai</w:t>
        </w:r>
      </w:hyperlink>
    </w:p>
    <w:p>
      <w:pPr>
        <w:pStyle w:val="ListBullet"/>
      </w:pPr>
      <w:r>
        <w:t xml:space="preserve">OWASP Agentic Top 10: </w:t>
      </w:r>
      <w:hyperlink r:id="rId75">
        <w:r>
          <w:rPr>
            <w:color w:val="0563C1"/>
            <w:u w:val="single"/>
          </w:rPr>
          <w:t>https://genai.owasp.org/resource/owasp-top-10-for-agentic-applications-for-2026/</w:t>
        </w:r>
      </w:hyperlink>
    </w:p>
    <w:sectPr w:rsidR="00FC693F" w:rsidRPr="0006063C" w:rsidSect="00034616">
      <w:footerReference w:type="default" r:id="rId101"/>
      <w:pgSz w:w="16848" w:h="11952" w:orient="landscape"/>
      <w:pgMar w:top="936" w:right="864" w:bottom="936"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8"/>
      </w:rPr>
      <w:t>Agent Governance Toolkit Landscape — September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pPr>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Aptos Display" w:hAnsi="Aptos Display"/>
      <w:b/>
      <w:bCs/>
      <w:color w:val="17365D"/>
      <w:sz w:val="42"/>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ptos Display" w:hAnsi="Aptos Display"/>
      <w:b/>
      <w:bCs/>
      <w:color w:val="1F4E79"/>
      <w:sz w:val="32"/>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ptos Display" w:hAnsi="Aptos Display"/>
      <w:b/>
      <w:bCs/>
      <w:color w:val="2F5597"/>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github.com/microsoft/agent-governance-toolkit" TargetMode="External"/><Relationship Id="rId10" Type="http://schemas.openxmlformats.org/officeDocument/2006/relationships/hyperlink" Target="https://aws.amazon.com/bedrock/agentcore/" TargetMode="External"/><Relationship Id="rId11" Type="http://schemas.openxmlformats.org/officeDocument/2006/relationships/hyperlink" Target="https://docs.cloud.google.com/gemini-enterprise-agent-platform/govern" TargetMode="External"/><Relationship Id="rId12" Type="http://schemas.openxmlformats.org/officeDocument/2006/relationships/hyperlink" Target="https://learn.microsoft.com/en-us/entra/agent-id/what-is-microsoft-entra-agent-id" TargetMode="External"/><Relationship Id="rId13" Type="http://schemas.openxmlformats.org/officeDocument/2006/relationships/hyperlink" Target="https://www.pingidentity.com/en/product/agent-governance.html" TargetMode="External"/><Relationship Id="rId14" Type="http://schemas.openxmlformats.org/officeDocument/2006/relationships/hyperlink" Target="https://www.cisco.com/site/us/en/solutions/artificial-intelligence/security/securing-agentic-ai/index.html" TargetMode="External"/><Relationship Id="rId15" Type="http://schemas.openxmlformats.org/officeDocument/2006/relationships/hyperlink" Target="https://www.paloaltonetworks.com/ai-security/prisma-airs" TargetMode="External"/><Relationship Id="rId16" Type="http://schemas.openxmlformats.org/officeDocument/2006/relationships/hyperlink" Target="https://www.holisticai.com/guardian-agents" TargetMode="External"/><Relationship Id="rId17" Type="http://schemas.openxmlformats.org/officeDocument/2006/relationships/hyperlink" Target="https://docs.lakera.ai/guard" TargetMode="External"/><Relationship Id="rId18" Type="http://schemas.openxmlformats.org/officeDocument/2006/relationships/hyperlink" Target="https://www.ibm.com/products/watsonx-governance" TargetMode="External"/><Relationship Id="rId19" Type="http://schemas.openxmlformats.org/officeDocument/2006/relationships/hyperlink" Target="https://www.salesforce.com/artificial-intelligence/trusted-ai/" TargetMode="External"/><Relationship Id="rId20" Type="http://schemas.openxmlformats.org/officeDocument/2006/relationships/hyperlink" Target="https://docs.descope.com/agentic-identity-hub" TargetMode="External"/><Relationship Id="rId21" Type="http://schemas.openxmlformats.org/officeDocument/2006/relationships/hyperlink" Target="https://www.docker.com/products/mcp-enterprise-gateway/" TargetMode="External"/><Relationship Id="rId22" Type="http://schemas.openxmlformats.org/officeDocument/2006/relationships/hyperlink" Target="https://github.com/stacklok/toolhive" TargetMode="External"/><Relationship Id="rId23" Type="http://schemas.openxmlformats.org/officeDocument/2006/relationships/hyperlink" Target="https://www.lasso.security/use-cases/mcp-security" TargetMode="External"/><Relationship Id="rId24" Type="http://schemas.openxmlformats.org/officeDocument/2006/relationships/hyperlink" Target="https://www.cerbos.dev/features-benefits-and-use-cases/dynamic-authorization-for-MCP-servers" TargetMode="External"/><Relationship Id="rId25" Type="http://schemas.openxmlformats.org/officeDocument/2006/relationships/hyperlink" Target="https://www.permit.io/ai-access-control" TargetMode="External"/><Relationship Id="rId26" Type="http://schemas.openxmlformats.org/officeDocument/2006/relationships/hyperlink" Target="https://www.okta.com/solutions/cross-app-access/" TargetMode="External"/><Relationship Id="rId27" Type="http://schemas.openxmlformats.org/officeDocument/2006/relationships/hyperlink" Target="https://www.oasis.security/solutions/ai" TargetMode="External"/><Relationship Id="rId28" Type="http://schemas.openxmlformats.org/officeDocument/2006/relationships/hyperlink" Target="https://credo.ai/agent-governor" TargetMode="External"/><Relationship Id="rId29" Type="http://schemas.openxmlformats.org/officeDocument/2006/relationships/hyperlink" Target="https://agentcontrol.dev/" TargetMode="External"/><Relationship Id="rId30" Type="http://schemas.openxmlformats.org/officeDocument/2006/relationships/hyperlink" Target="https://github.com/NVIDIA-NeMo/Guardrails" TargetMode="External"/><Relationship Id="rId31" Type="http://schemas.openxmlformats.org/officeDocument/2006/relationships/hyperlink" Target="https://github.com/Arize-ai/phoenix" TargetMode="External"/><Relationship Id="rId32" Type="http://schemas.openxmlformats.org/officeDocument/2006/relationships/hyperlink" Target="https://github.com/AgentOps-AI/agentops" TargetMode="External"/><Relationship Id="rId33" Type="http://schemas.openxmlformats.org/officeDocument/2006/relationships/hyperlink" Target="https://langchain.com/langsmith-platform" TargetMode="External"/><Relationship Id="rId34" Type="http://schemas.openxmlformats.org/officeDocument/2006/relationships/hyperlink" Target="https://www.openpolicyagent.org/docs/latest/" TargetMode="External"/><Relationship Id="rId35" Type="http://schemas.openxmlformats.org/officeDocument/2006/relationships/hyperlink" Target="https://docs.cedarpolicy.com/" TargetMode="External"/><Relationship Id="rId36" Type="http://schemas.openxmlformats.org/officeDocument/2006/relationships/hyperlink" Target="https://openfga.dev/" TargetMode="External"/><Relationship Id="rId37" Type="http://schemas.openxmlformats.org/officeDocument/2006/relationships/hyperlink" Target="https://authzed.com/docs/spicedb/getting-started/discovering-spicedb" TargetMode="External"/><Relationship Id="rId38" Type="http://schemas.openxmlformats.org/officeDocument/2006/relationships/hyperlink" Target="https://www.keycloak.org/" TargetMode="External"/><Relationship Id="rId39" Type="http://schemas.openxmlformats.org/officeDocument/2006/relationships/hyperlink" Target="https://spiffe.io/docs/latest/spiffe-about/overview/" TargetMode="External"/><Relationship Id="rId40" Type="http://schemas.openxmlformats.org/officeDocument/2006/relationships/hyperlink" Target="https://docs.sigstore.dev/about/overview/" TargetMode="External"/><Relationship Id="rId41" Type="http://schemas.openxmlformats.org/officeDocument/2006/relationships/hyperlink" Target="https://in-toto.io/" TargetMode="External"/><Relationship Id="rId42" Type="http://schemas.openxmlformats.org/officeDocument/2006/relationships/hyperlink" Target="https://slsa.dev/spec/v1.2/" TargetMode="External"/><Relationship Id="rId43" Type="http://schemas.openxmlformats.org/officeDocument/2006/relationships/hyperlink" Target="https://kyverno.io/docs/introduction/how-kyverno-works/" TargetMode="External"/><Relationship Id="rId44" Type="http://schemas.openxmlformats.org/officeDocument/2006/relationships/hyperlink" Target="https://github.com/open-policy-agent/gatekeeper" TargetMode="External"/><Relationship Id="rId45" Type="http://schemas.openxmlformats.org/officeDocument/2006/relationships/hyperlink" Target="https://openbao.org/" TargetMode="External"/><Relationship Id="rId46" Type="http://schemas.openxmlformats.org/officeDocument/2006/relationships/hyperlink" Target="https://infisical.com/" TargetMode="External"/><Relationship Id="rId47" Type="http://schemas.openxmlformats.org/officeDocument/2006/relationships/hyperlink" Target="https://gvisor.dev/docs/" TargetMode="External"/><Relationship Id="rId48" Type="http://schemas.openxmlformats.org/officeDocument/2006/relationships/hyperlink" Target="https://katacontainers.io/learn/" TargetMode="External"/><Relationship Id="rId49" Type="http://schemas.openxmlformats.org/officeDocument/2006/relationships/hyperlink" Target="https://firecracker-microvm.github.io/" TargetMode="External"/><Relationship Id="rId50" Type="http://schemas.openxmlformats.org/officeDocument/2006/relationships/hyperlink" Target="https://falco.org/docs/" TargetMode="External"/><Relationship Id="rId51" Type="http://schemas.openxmlformats.org/officeDocument/2006/relationships/hyperlink" Target="https://tetragon.io/docs/overview/" TargetMode="External"/><Relationship Id="rId52" Type="http://schemas.openxmlformats.org/officeDocument/2006/relationships/hyperlink" Target="https://opentelemetry.io/docs/what-is-opentelemetry/" TargetMode="External"/><Relationship Id="rId53" Type="http://schemas.openxmlformats.org/officeDocument/2006/relationships/hyperlink" Target="https://wazuh.com/" TargetMode="External"/><Relationship Id="rId54" Type="http://schemas.openxmlformats.org/officeDocument/2006/relationships/hyperlink" Target="https://pages.nist.gov/OSCAL/" TargetMode="External"/><Relationship Id="rId55" Type="http://schemas.openxmlformats.org/officeDocument/2006/relationships/hyperlink" Target="https://oscal-compass.dev/compliance-trestle/latest/" TargetMode="External"/><Relationship Id="rId56" Type="http://schemas.openxmlformats.org/officeDocument/2006/relationships/hyperlink" Target="https://openlineage.io/docs/" TargetMode="External"/><Relationship Id="rId57" Type="http://schemas.openxmlformats.org/officeDocument/2006/relationships/hyperlink" Target="https://docs.datahub.com/docs/introduction" TargetMode="External"/><Relationship Id="rId58" Type="http://schemas.openxmlformats.org/officeDocument/2006/relationships/hyperlink" Target="https://github.com/guacsec/guac" TargetMode="External"/><Relationship Id="rId59" Type="http://schemas.openxmlformats.org/officeDocument/2006/relationships/hyperlink" Target="https://github.com/grafeas/grafeas" TargetMode="External"/><Relationship Id="rId60" Type="http://schemas.openxmlformats.org/officeDocument/2006/relationships/hyperlink" Target="https://docs.temporal.io/" TargetMode="External"/><Relationship Id="rId61" Type="http://schemas.openxmlformats.org/officeDocument/2006/relationships/hyperlink" Target="https://www.flowable.com/open-source" TargetMode="External"/><Relationship Id="rId62" Type="http://schemas.openxmlformats.org/officeDocument/2006/relationships/hyperlink" Target="https://slurm.schedmd.com/rest.html" TargetMode="External"/><Relationship Id="rId63" Type="http://schemas.openxmlformats.org/officeDocument/2006/relationships/hyperlink" Target="https://www.openpolicyagent.org/docs/latest/policy-language/" TargetMode="External"/><Relationship Id="rId64" Type="http://schemas.openxmlformats.org/officeDocument/2006/relationships/hyperlink" Target="https://cel.dev/" TargetMode="External"/><Relationship Id="rId65" Type="http://schemas.openxmlformats.org/officeDocument/2006/relationships/hyperlink" Target="https://openfga.dev/docs/modeling/getting-started" TargetMode="External"/><Relationship Id="rId66" Type="http://schemas.openxmlformats.org/officeDocument/2006/relationships/hyperlink" Target="https://authzed.com/docs/spicedb/concepts/schema" TargetMode="External"/><Relationship Id="rId67" Type="http://schemas.openxmlformats.org/officeDocument/2006/relationships/hyperlink" Target="https://docs.oasis-open.org/xacml/3.0/xacml-3.0-core-spec-os-en.html" TargetMode="External"/><Relationship Id="rId68" Type="http://schemas.openxmlformats.org/officeDocument/2006/relationships/hyperlink" Target="https://casbin.org/docs/syntax-for-models/" TargetMode="External"/><Relationship Id="rId69" Type="http://schemas.openxmlformats.org/officeDocument/2006/relationships/hyperlink" Target="https://www.osohq.com/docs/reference/polar" TargetMode="External"/><Relationship Id="rId70" Type="http://schemas.openxmlformats.org/officeDocument/2006/relationships/hyperlink" Target="https://kubernetes.io/docs/reference/access-authn-authz/validating-admission-policy/" TargetMode="External"/><Relationship Id="rId71" Type="http://schemas.openxmlformats.org/officeDocument/2006/relationships/hyperlink" Target="https://www.omg.org/dmn/" TargetMode="External"/><Relationship Id="rId72" Type="http://schemas.openxmlformats.org/officeDocument/2006/relationships/hyperlink" Target="https://digital-strategy.ec.europa.eu/en/policies/regulatory-framework-ai" TargetMode="External"/><Relationship Id="rId73" Type="http://schemas.openxmlformats.org/officeDocument/2006/relationships/hyperlink" Target="https://www.nist.gov/itl/ai-risk-management-framework" TargetMode="External"/><Relationship Id="rId74" Type="http://schemas.openxmlformats.org/officeDocument/2006/relationships/hyperlink" Target="https://www.iso.org/standard/42001" TargetMode="External"/><Relationship Id="rId75" Type="http://schemas.openxmlformats.org/officeDocument/2006/relationships/hyperlink" Target="https://genai.owasp.org/resource/owasp-top-10-for-agentic-applications-for-2026/" TargetMode="External"/><Relationship Id="rId76" Type="http://schemas.openxmlformats.org/officeDocument/2006/relationships/hyperlink" Target="https://atlas.mitre.org/" TargetMode="External"/><Relationship Id="rId77" Type="http://schemas.openxmlformats.org/officeDocument/2006/relationships/hyperlink" Target="https://www.rfc-editor.org/rfc/rfc8693" TargetMode="External"/><Relationship Id="rId78" Type="http://schemas.openxmlformats.org/officeDocument/2006/relationships/hyperlink" Target="https://www.rfc-editor.org/rfc/rfc9396" TargetMode="External"/><Relationship Id="rId79" Type="http://schemas.openxmlformats.org/officeDocument/2006/relationships/hyperlink" Target="https://www.rfc-editor.org/rfc/rfc9635" TargetMode="External"/><Relationship Id="rId80" Type="http://schemas.openxmlformats.org/officeDocument/2006/relationships/hyperlink" Target="https://spiffe.io/" TargetMode="External"/><Relationship Id="rId81" Type="http://schemas.openxmlformats.org/officeDocument/2006/relationships/hyperlink" Target="https://openid.net/specs/authorization-api-1_0.html" TargetMode="External"/><Relationship Id="rId82" Type="http://schemas.openxmlformats.org/officeDocument/2006/relationships/hyperlink" Target="https://modelcontextprotocol.io/specification/latest/basic/authorization" TargetMode="External"/><Relationship Id="rId83" Type="http://schemas.openxmlformats.org/officeDocument/2006/relationships/hyperlink" Target="https://a2a-protocol.org/latest/specification" TargetMode="External"/><Relationship Id="rId84" Type="http://schemas.openxmlformats.org/officeDocument/2006/relationships/hyperlink" Target="https://opentelemetry.io/docs/specs/otel/" TargetMode="External"/><Relationship Id="rId85" Type="http://schemas.openxmlformats.org/officeDocument/2006/relationships/hyperlink" Target="https://www.w3.org/TR/prov-o/" TargetMode="External"/><Relationship Id="rId86" Type="http://schemas.openxmlformats.org/officeDocument/2006/relationships/hyperlink" Target="https://www.ietf.org/archive/id/draft-ietf-scitt-architecture-08.html" TargetMode="External"/><Relationship Id="rId87" Type="http://schemas.openxmlformats.org/officeDocument/2006/relationships/hyperlink" Target="https://in-toto.io/Statement/v1" TargetMode="External"/><Relationship Id="rId88" Type="http://schemas.openxmlformats.org/officeDocument/2006/relationships/hyperlink" Target="https://docs.sigstore.dev/" TargetMode="External"/><Relationship Id="rId89" Type="http://schemas.openxmlformats.org/officeDocument/2006/relationships/hyperlink" Target="https://csrc.nist.gov/pubs/sp/800/53/r5/upd1/final" TargetMode="External"/><Relationship Id="rId90" Type="http://schemas.openxmlformats.org/officeDocument/2006/relationships/hyperlink" Target="https://github.com/microsoft/agent-governance-toolkit/blob/c63c51e881c442fbc060705f7e211f29993f2c1b/docs/ARCHITECTURE.md" TargetMode="External"/><Relationship Id="rId91" Type="http://schemas.openxmlformats.org/officeDocument/2006/relationships/hyperlink" Target="https://github.com/microsoft/agent-governance-toolkit/blob/c63c51e881c442fbc060705f7e211f29993f2c1b/policy-engine/README.md" TargetMode="External"/><Relationship Id="rId92" Type="http://schemas.openxmlformats.org/officeDocument/2006/relationships/hyperlink" Target="https://github.com/microsoft/agent-governance-toolkit/blob/c63c51e881c442fbc060705f7e211f29993f2c1b/docs/PACKAGE-FEATURE-MATRIX.md" TargetMode="External"/><Relationship Id="rId93" Type="http://schemas.openxmlformats.org/officeDocument/2006/relationships/hyperlink" Target="https://github.com/microsoft/agent-governance-toolkit/blob/c63c51e881c442fbc060705f7e211f29993f2c1b/docs/LIMITATIONS.md" TargetMode="External"/><Relationship Id="rId94" Type="http://schemas.openxmlformats.org/officeDocument/2006/relationships/hyperlink" Target="https://github.com/microsoft/agent-governance-toolkit/blob/c63c51e881c442fbc060705f7e211f29993f2c1b/agent-governance-python/agent-mesh/src/agentmesh/governance/audit.py" TargetMode="External"/><Relationship Id="rId95" Type="http://schemas.openxmlformats.org/officeDocument/2006/relationships/hyperlink" Target="https://github.com/microsoft/agent-governance-toolkit/commit/c63c51e881c442fbc060705f7e211f29993f2c1b" TargetMode="External"/><Relationship Id="rId96" Type="http://schemas.openxmlformats.org/officeDocument/2006/relationships/hyperlink" Target="https://github.com/microsoft/agent-governance-toolkit/blob/c63c51e881c442fbc060705f7e211f29993f2c1b/README.md" TargetMode="External"/><Relationship Id="rId97" Type="http://schemas.openxmlformats.org/officeDocument/2006/relationships/hyperlink" Target="https://github.com/microsoft/agent-governance-toolkit/blob/c63c51e881c442fbc060705f7e211f29993f2c1b/SECURITY.md" TargetMode="External"/><Relationship Id="rId98" Type="http://schemas.openxmlformats.org/officeDocument/2006/relationships/hyperlink" Target="https://github.com/microsoft/agent-governance-toolkit/blob/c63c51e881c442fbc060705f7e211f29993f2c1b/BREAKING_CHANGES.md" TargetMode="External"/><Relationship Id="rId99" Type="http://schemas.openxmlformats.org/officeDocument/2006/relationships/hyperlink" Target="https://github.com/microsoft/agent-governance-toolkit/tree/c63c51e881c442fbc060705f7e211f29993f2c1b/policy-engine" TargetMode="External"/><Relationship Id="rId100" Type="http://schemas.openxmlformats.org/officeDocument/2006/relationships/hyperlink" Target="https://opentelemetry.io/docs/" TargetMode="External"/><Relationship Id="rId10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Agent Governance Toolkits: Industry Landscape, Microsoft AGT, and CAF v2 Strategy</dc:title>
  <dc:subject>Agent governance landscape and CAF v2 build-versus-reuse strategy</dc:subject>
  <dc:creator>Hermes Agent</dc:creator>
  <cp:keywords/>
  <dc:description>generated by python-docx</dc:description>
  <cp:lastModifiedBy/>
  <cp:revision>1</cp:revision>
  <dcterms:created xsi:type="dcterms:W3CDTF">2013-12-23T23:15:00Z</dcterms:created>
  <dcterms:modified xsi:type="dcterms:W3CDTF">2013-12-23T23:15:00Z</dcterms:modified>
  <cp:category/>
</cp:coreProperties>
</file>